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EB606" w14:textId="6385AB3B" w:rsidR="004248A8" w:rsidRPr="004248A8" w:rsidRDefault="004248A8" w:rsidP="004248A8">
      <w:pPr>
        <w:jc w:val="center"/>
        <w:rPr>
          <w:rFonts w:ascii="Verdana" w:eastAsia="Times New Roman" w:hAnsi="Verdana" w:cs="Arial"/>
          <w:b/>
          <w:noProof/>
          <w:lang w:eastAsia="en-GB"/>
        </w:rPr>
      </w:pPr>
      <w:r w:rsidRPr="004248A8">
        <w:rPr>
          <w:rFonts w:ascii="Verdana" w:eastAsia="Times New Roman" w:hAnsi="Verdana" w:cs="Arial"/>
          <w:b/>
          <w:noProof/>
          <w:lang w:eastAsia="en-GB"/>
        </w:rPr>
        <w:t xml:space="preserve">   </w:t>
      </w:r>
      <w:r w:rsidRPr="004248A8">
        <w:rPr>
          <w:rFonts w:ascii="Verdana" w:eastAsia="Times New Roman" w:hAnsi="Verdana" w:cs="Arial"/>
          <w:b/>
          <w:noProof/>
          <w:lang w:eastAsia="en-GB"/>
        </w:rPr>
        <w:drawing>
          <wp:inline distT="0" distB="0" distL="0" distR="0" wp14:anchorId="643EC0FE" wp14:editId="3081397B">
            <wp:extent cx="2057400" cy="542925"/>
            <wp:effectExtent l="0" t="0" r="0" b="9525"/>
            <wp:docPr id="1" name="Picture 1" descr="LogoForPrint496x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Print496x1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542925"/>
                    </a:xfrm>
                    <a:prstGeom prst="rect">
                      <a:avLst/>
                    </a:prstGeom>
                    <a:noFill/>
                    <a:ln>
                      <a:noFill/>
                    </a:ln>
                  </pic:spPr>
                </pic:pic>
              </a:graphicData>
            </a:graphic>
          </wp:inline>
        </w:drawing>
      </w:r>
    </w:p>
    <w:p w14:paraId="5619F7A5" w14:textId="77777777" w:rsidR="004248A8" w:rsidRPr="004248A8" w:rsidRDefault="004248A8" w:rsidP="004248A8">
      <w:pPr>
        <w:spacing w:after="0" w:line="240" w:lineRule="auto"/>
        <w:jc w:val="right"/>
        <w:rPr>
          <w:rFonts w:ascii="Verdana" w:eastAsia="Times New Roman" w:hAnsi="Verdana" w:cs="Arial"/>
          <w:b/>
          <w:noProof/>
          <w:lang w:eastAsia="en-GB"/>
        </w:rPr>
      </w:pPr>
    </w:p>
    <w:p w14:paraId="3D3E4B42" w14:textId="77777777" w:rsidR="004248A8" w:rsidRPr="004248A8" w:rsidRDefault="004248A8" w:rsidP="004248A8">
      <w:pPr>
        <w:spacing w:after="0" w:line="240" w:lineRule="auto"/>
        <w:jc w:val="center"/>
        <w:rPr>
          <w:rFonts w:ascii="Verdana" w:eastAsia="Times New Roman" w:hAnsi="Verdana" w:cs="Arial"/>
          <w:b/>
          <w:noProof/>
          <w:sz w:val="32"/>
          <w:szCs w:val="32"/>
          <w:lang w:eastAsia="en-GB"/>
        </w:rPr>
      </w:pPr>
    </w:p>
    <w:p w14:paraId="19DA0669" w14:textId="77777777" w:rsidR="004248A8" w:rsidRPr="004248A8" w:rsidRDefault="004248A8" w:rsidP="004248A8">
      <w:pPr>
        <w:spacing w:after="0" w:line="240" w:lineRule="auto"/>
        <w:jc w:val="center"/>
        <w:rPr>
          <w:rFonts w:ascii="Verdana" w:eastAsia="Times New Roman" w:hAnsi="Verdana" w:cs="Arial"/>
          <w:b/>
          <w:noProof/>
          <w:sz w:val="32"/>
          <w:szCs w:val="32"/>
          <w:lang w:eastAsia="en-GB"/>
        </w:rPr>
      </w:pPr>
    </w:p>
    <w:p w14:paraId="5C349F0B" w14:textId="77777777" w:rsidR="004248A8" w:rsidRPr="004248A8" w:rsidRDefault="004248A8" w:rsidP="004248A8">
      <w:pPr>
        <w:spacing w:after="0" w:line="240" w:lineRule="auto"/>
        <w:jc w:val="center"/>
        <w:rPr>
          <w:rFonts w:ascii="Verdana" w:eastAsia="Times New Roman" w:hAnsi="Verdana" w:cs="Arial"/>
          <w:b/>
          <w:noProof/>
          <w:sz w:val="32"/>
          <w:szCs w:val="32"/>
          <w:lang w:eastAsia="en-GB"/>
        </w:rPr>
      </w:pPr>
    </w:p>
    <w:p w14:paraId="69C64BF9" w14:textId="77777777" w:rsidR="004248A8" w:rsidRPr="004248A8" w:rsidRDefault="004248A8" w:rsidP="004248A8">
      <w:pPr>
        <w:spacing w:after="0" w:line="240" w:lineRule="auto"/>
        <w:jc w:val="center"/>
        <w:rPr>
          <w:rFonts w:ascii="Verdana" w:eastAsia="Times New Roman" w:hAnsi="Verdana" w:cs="Arial"/>
          <w:b/>
          <w:noProof/>
          <w:sz w:val="32"/>
          <w:szCs w:val="32"/>
          <w:lang w:eastAsia="en-GB"/>
        </w:rPr>
      </w:pPr>
    </w:p>
    <w:p w14:paraId="775D8DA2" w14:textId="77777777" w:rsidR="004248A8" w:rsidRPr="004248A8" w:rsidRDefault="004248A8" w:rsidP="004248A8">
      <w:pPr>
        <w:spacing w:after="0" w:line="240" w:lineRule="auto"/>
        <w:jc w:val="center"/>
        <w:rPr>
          <w:rFonts w:ascii="Arial" w:eastAsia="Times New Roman" w:hAnsi="Arial" w:cs="Arial"/>
          <w:b/>
          <w:sz w:val="32"/>
          <w:szCs w:val="32"/>
          <w:lang w:eastAsia="en-GB"/>
        </w:rPr>
      </w:pPr>
    </w:p>
    <w:p w14:paraId="5B0F7B8F" w14:textId="77777777" w:rsidR="004248A8" w:rsidRPr="004248A8" w:rsidRDefault="004248A8" w:rsidP="004248A8">
      <w:pPr>
        <w:spacing w:after="0" w:line="240" w:lineRule="auto"/>
        <w:jc w:val="center"/>
        <w:rPr>
          <w:rFonts w:ascii="Arial" w:eastAsia="Times New Roman" w:hAnsi="Arial" w:cs="Arial"/>
          <w:b/>
          <w:sz w:val="32"/>
          <w:szCs w:val="32"/>
          <w:lang w:eastAsia="en-GB"/>
        </w:rPr>
      </w:pPr>
    </w:p>
    <w:p w14:paraId="7C03F297" w14:textId="77777777" w:rsidR="004248A8" w:rsidRPr="004248A8" w:rsidRDefault="004248A8" w:rsidP="004248A8">
      <w:pPr>
        <w:spacing w:after="0" w:line="240" w:lineRule="auto"/>
        <w:jc w:val="center"/>
        <w:rPr>
          <w:rFonts w:ascii="Arial" w:eastAsia="Times New Roman" w:hAnsi="Arial" w:cs="Arial"/>
          <w:b/>
          <w:sz w:val="32"/>
          <w:szCs w:val="32"/>
          <w:lang w:eastAsia="en-GB"/>
        </w:rPr>
      </w:pPr>
    </w:p>
    <w:p w14:paraId="3E7E7C4C" w14:textId="77777777" w:rsidR="004248A8" w:rsidRPr="004248A8" w:rsidRDefault="004248A8" w:rsidP="004248A8">
      <w:pPr>
        <w:spacing w:after="0" w:line="240" w:lineRule="auto"/>
        <w:jc w:val="center"/>
        <w:rPr>
          <w:rFonts w:ascii="Arial" w:eastAsia="Times New Roman" w:hAnsi="Arial" w:cs="Arial"/>
          <w:b/>
          <w:sz w:val="32"/>
          <w:szCs w:val="32"/>
          <w:lang w:eastAsia="en-GB"/>
        </w:rPr>
      </w:pPr>
    </w:p>
    <w:p w14:paraId="157349C0" w14:textId="77777777" w:rsidR="004248A8" w:rsidRPr="004248A8" w:rsidRDefault="004248A8" w:rsidP="004248A8">
      <w:pPr>
        <w:spacing w:after="0" w:line="240" w:lineRule="auto"/>
        <w:jc w:val="center"/>
        <w:rPr>
          <w:rFonts w:ascii="Arial" w:eastAsia="Times New Roman" w:hAnsi="Arial" w:cs="Arial"/>
          <w:b/>
          <w:sz w:val="32"/>
          <w:szCs w:val="32"/>
          <w:lang w:eastAsia="en-GB"/>
        </w:rPr>
      </w:pPr>
    </w:p>
    <w:p w14:paraId="02E111F0" w14:textId="77777777" w:rsidR="004248A8" w:rsidRPr="004248A8" w:rsidRDefault="004248A8" w:rsidP="004248A8">
      <w:pPr>
        <w:spacing w:after="0" w:line="240" w:lineRule="auto"/>
        <w:jc w:val="center"/>
        <w:rPr>
          <w:rFonts w:ascii="Arial" w:eastAsia="Times New Roman" w:hAnsi="Arial" w:cs="Arial"/>
          <w:b/>
          <w:sz w:val="32"/>
          <w:szCs w:val="32"/>
          <w:lang w:eastAsia="en-GB"/>
        </w:rPr>
      </w:pPr>
    </w:p>
    <w:p w14:paraId="0F79C6BC" w14:textId="77777777" w:rsidR="004248A8" w:rsidRPr="004248A8" w:rsidRDefault="004248A8" w:rsidP="004248A8">
      <w:pPr>
        <w:jc w:val="center"/>
        <w:rPr>
          <w:rFonts w:ascii="Verdana" w:hAnsi="Verdana"/>
          <w:b/>
          <w:sz w:val="32"/>
          <w:szCs w:val="32"/>
        </w:rPr>
      </w:pPr>
      <w:bookmarkStart w:id="0" w:name="_GoBack"/>
      <w:r w:rsidRPr="004248A8">
        <w:rPr>
          <w:rFonts w:ascii="Verdana" w:hAnsi="Verdana"/>
          <w:b/>
          <w:sz w:val="32"/>
          <w:szCs w:val="32"/>
        </w:rPr>
        <w:t>Programme Withdrawal &amp; Suspension</w:t>
      </w:r>
    </w:p>
    <w:tbl>
      <w:tblPr>
        <w:tblpPr w:leftFromText="180" w:rightFromText="180" w:vertAnchor="text" w:horzAnchor="margin" w:tblpXSpec="center" w:tblpY="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5251"/>
      </w:tblGrid>
      <w:tr w:rsidR="004248A8" w:rsidRPr="004248A8" w14:paraId="5063FF10" w14:textId="77777777" w:rsidTr="00E62C1A">
        <w:trPr>
          <w:trHeight w:val="307"/>
        </w:trPr>
        <w:tc>
          <w:tcPr>
            <w:tcW w:w="8647" w:type="dxa"/>
            <w:gridSpan w:val="2"/>
            <w:shd w:val="clear" w:color="auto" w:fill="DBE0CA"/>
          </w:tcPr>
          <w:bookmarkEnd w:id="0"/>
          <w:p w14:paraId="4DC9C3A9" w14:textId="77777777" w:rsidR="004248A8" w:rsidRPr="004248A8" w:rsidRDefault="004248A8" w:rsidP="004248A8">
            <w:pPr>
              <w:spacing w:before="120" w:after="120"/>
              <w:rPr>
                <w:rFonts w:ascii="Verdana" w:hAnsi="Verdana"/>
                <w:sz w:val="20"/>
              </w:rPr>
            </w:pPr>
            <w:r w:rsidRPr="004248A8">
              <w:rPr>
                <w:rFonts w:ascii="Verdana" w:hAnsi="Verdana"/>
                <w:b/>
                <w:sz w:val="20"/>
              </w:rPr>
              <w:t>Policy Schedule</w:t>
            </w:r>
          </w:p>
        </w:tc>
      </w:tr>
      <w:tr w:rsidR="004248A8" w:rsidRPr="004248A8" w14:paraId="755292C7" w14:textId="77777777" w:rsidTr="00E62C1A">
        <w:trPr>
          <w:trHeight w:val="307"/>
        </w:trPr>
        <w:tc>
          <w:tcPr>
            <w:tcW w:w="3396" w:type="dxa"/>
            <w:shd w:val="clear" w:color="auto" w:fill="F3F3F3"/>
          </w:tcPr>
          <w:p w14:paraId="273CEC65" w14:textId="77777777" w:rsidR="004248A8" w:rsidRPr="004248A8" w:rsidRDefault="004248A8" w:rsidP="004248A8">
            <w:pPr>
              <w:spacing w:before="120" w:after="120"/>
              <w:rPr>
                <w:rFonts w:ascii="Verdana" w:hAnsi="Verdana"/>
                <w:sz w:val="20"/>
              </w:rPr>
            </w:pPr>
            <w:r w:rsidRPr="004248A8">
              <w:rPr>
                <w:rFonts w:ascii="Verdana" w:hAnsi="Verdana"/>
                <w:sz w:val="20"/>
              </w:rPr>
              <w:t>Policy title</w:t>
            </w:r>
          </w:p>
        </w:tc>
        <w:tc>
          <w:tcPr>
            <w:tcW w:w="5251" w:type="dxa"/>
          </w:tcPr>
          <w:p w14:paraId="6745A186" w14:textId="77777777" w:rsidR="004248A8" w:rsidRPr="004248A8" w:rsidRDefault="004248A8" w:rsidP="004248A8">
            <w:pPr>
              <w:spacing w:before="120" w:after="120"/>
              <w:rPr>
                <w:rFonts w:ascii="Verdana" w:hAnsi="Verdana"/>
                <w:sz w:val="20"/>
              </w:rPr>
            </w:pPr>
            <w:r w:rsidRPr="004248A8">
              <w:rPr>
                <w:rFonts w:ascii="Verdana" w:hAnsi="Verdana"/>
                <w:sz w:val="20"/>
              </w:rPr>
              <w:t>Programme Withdrawal &amp; Suspension Procedures</w:t>
            </w:r>
          </w:p>
        </w:tc>
      </w:tr>
      <w:tr w:rsidR="004248A8" w:rsidRPr="004248A8" w14:paraId="1FA22744" w14:textId="77777777" w:rsidTr="00E62C1A">
        <w:trPr>
          <w:trHeight w:val="307"/>
        </w:trPr>
        <w:tc>
          <w:tcPr>
            <w:tcW w:w="3396" w:type="dxa"/>
            <w:shd w:val="clear" w:color="auto" w:fill="F3F3F3"/>
          </w:tcPr>
          <w:p w14:paraId="7BD5DB38" w14:textId="77777777" w:rsidR="004248A8" w:rsidRPr="004248A8" w:rsidRDefault="004248A8" w:rsidP="004248A8">
            <w:pPr>
              <w:spacing w:before="120" w:after="120"/>
              <w:rPr>
                <w:rFonts w:ascii="Verdana" w:hAnsi="Verdana"/>
                <w:sz w:val="20"/>
              </w:rPr>
            </w:pPr>
            <w:r w:rsidRPr="004248A8">
              <w:rPr>
                <w:rFonts w:ascii="Verdana" w:hAnsi="Verdana"/>
                <w:sz w:val="20"/>
              </w:rPr>
              <w:t>Policy owner</w:t>
            </w:r>
          </w:p>
        </w:tc>
        <w:tc>
          <w:tcPr>
            <w:tcW w:w="5251" w:type="dxa"/>
          </w:tcPr>
          <w:p w14:paraId="5647E828" w14:textId="77777777" w:rsidR="004248A8" w:rsidRPr="004248A8" w:rsidRDefault="004248A8" w:rsidP="004248A8">
            <w:pPr>
              <w:spacing w:before="120" w:after="120"/>
              <w:rPr>
                <w:rFonts w:ascii="Verdana" w:hAnsi="Verdana"/>
                <w:sz w:val="20"/>
              </w:rPr>
            </w:pPr>
            <w:r w:rsidRPr="004248A8">
              <w:rPr>
                <w:rFonts w:ascii="Verdana" w:hAnsi="Verdana"/>
                <w:sz w:val="20"/>
              </w:rPr>
              <w:t>Toby Best</w:t>
            </w:r>
          </w:p>
        </w:tc>
      </w:tr>
      <w:tr w:rsidR="004248A8" w:rsidRPr="004248A8" w14:paraId="6F5BE81C" w14:textId="77777777" w:rsidTr="00E62C1A">
        <w:trPr>
          <w:trHeight w:val="331"/>
        </w:trPr>
        <w:tc>
          <w:tcPr>
            <w:tcW w:w="3396" w:type="dxa"/>
            <w:shd w:val="clear" w:color="auto" w:fill="F3F3F3"/>
          </w:tcPr>
          <w:p w14:paraId="2AC9224A" w14:textId="77777777" w:rsidR="004248A8" w:rsidRPr="004248A8" w:rsidRDefault="004248A8" w:rsidP="004248A8">
            <w:pPr>
              <w:spacing w:before="120" w:after="120"/>
              <w:rPr>
                <w:rFonts w:ascii="Verdana" w:hAnsi="Verdana"/>
                <w:sz w:val="20"/>
              </w:rPr>
            </w:pPr>
            <w:r w:rsidRPr="004248A8">
              <w:rPr>
                <w:rFonts w:ascii="Verdana" w:hAnsi="Verdana"/>
                <w:sz w:val="20"/>
              </w:rPr>
              <w:t>Policy lead contact</w:t>
            </w:r>
          </w:p>
        </w:tc>
        <w:tc>
          <w:tcPr>
            <w:tcW w:w="5251" w:type="dxa"/>
          </w:tcPr>
          <w:p w14:paraId="01352869" w14:textId="77777777" w:rsidR="004248A8" w:rsidRPr="004248A8" w:rsidRDefault="004248A8" w:rsidP="004248A8">
            <w:pPr>
              <w:spacing w:before="120" w:after="120"/>
              <w:rPr>
                <w:rFonts w:ascii="Verdana" w:hAnsi="Verdana"/>
                <w:sz w:val="20"/>
              </w:rPr>
            </w:pPr>
            <w:r w:rsidRPr="004248A8">
              <w:rPr>
                <w:rFonts w:ascii="Verdana" w:hAnsi="Verdana"/>
                <w:sz w:val="20"/>
              </w:rPr>
              <w:t>Portfolio &amp; Programme Development Manager</w:t>
            </w:r>
          </w:p>
        </w:tc>
      </w:tr>
      <w:tr w:rsidR="004248A8" w:rsidRPr="004248A8" w14:paraId="3F82FBB0" w14:textId="77777777" w:rsidTr="00E62C1A">
        <w:trPr>
          <w:trHeight w:val="307"/>
        </w:trPr>
        <w:tc>
          <w:tcPr>
            <w:tcW w:w="3396" w:type="dxa"/>
            <w:shd w:val="clear" w:color="auto" w:fill="F3F3F3"/>
          </w:tcPr>
          <w:p w14:paraId="33E45B35" w14:textId="77777777" w:rsidR="004248A8" w:rsidRPr="004248A8" w:rsidRDefault="004248A8" w:rsidP="004248A8">
            <w:pPr>
              <w:spacing w:before="120" w:after="120"/>
              <w:rPr>
                <w:rFonts w:ascii="Verdana" w:hAnsi="Verdana"/>
                <w:sz w:val="20"/>
              </w:rPr>
            </w:pPr>
            <w:r w:rsidRPr="004248A8">
              <w:rPr>
                <w:rFonts w:ascii="Verdana" w:hAnsi="Verdana"/>
                <w:sz w:val="20"/>
              </w:rPr>
              <w:t>Approving body</w:t>
            </w:r>
          </w:p>
        </w:tc>
        <w:tc>
          <w:tcPr>
            <w:tcW w:w="5251" w:type="dxa"/>
          </w:tcPr>
          <w:p w14:paraId="5A8BC7F6" w14:textId="77777777" w:rsidR="004248A8" w:rsidRPr="004248A8" w:rsidRDefault="004248A8" w:rsidP="004248A8">
            <w:pPr>
              <w:spacing w:before="120" w:after="120"/>
              <w:rPr>
                <w:rFonts w:ascii="Verdana" w:hAnsi="Verdana"/>
                <w:sz w:val="20"/>
              </w:rPr>
            </w:pPr>
            <w:r w:rsidRPr="004248A8">
              <w:rPr>
                <w:rFonts w:ascii="Verdana" w:hAnsi="Verdana"/>
                <w:sz w:val="20"/>
              </w:rPr>
              <w:t>Academic Strategy and Planning Committee</w:t>
            </w:r>
          </w:p>
        </w:tc>
      </w:tr>
      <w:tr w:rsidR="004248A8" w:rsidRPr="004248A8" w14:paraId="1C356CFF" w14:textId="77777777" w:rsidTr="00E62C1A">
        <w:trPr>
          <w:trHeight w:val="307"/>
        </w:trPr>
        <w:tc>
          <w:tcPr>
            <w:tcW w:w="3396" w:type="dxa"/>
            <w:shd w:val="clear" w:color="auto" w:fill="F3F3F3"/>
          </w:tcPr>
          <w:p w14:paraId="1EFE682E" w14:textId="77777777" w:rsidR="004248A8" w:rsidRPr="004248A8" w:rsidRDefault="004248A8" w:rsidP="004248A8">
            <w:pPr>
              <w:spacing w:before="120" w:after="120"/>
              <w:rPr>
                <w:rFonts w:ascii="Verdana" w:hAnsi="Verdana"/>
                <w:sz w:val="20"/>
              </w:rPr>
            </w:pPr>
            <w:r w:rsidRPr="004248A8">
              <w:rPr>
                <w:rFonts w:ascii="Verdana" w:hAnsi="Verdana"/>
                <w:sz w:val="20"/>
              </w:rPr>
              <w:t>Date of approval</w:t>
            </w:r>
          </w:p>
        </w:tc>
        <w:tc>
          <w:tcPr>
            <w:tcW w:w="5251" w:type="dxa"/>
          </w:tcPr>
          <w:p w14:paraId="20EF6D00" w14:textId="7067B655" w:rsidR="004248A8" w:rsidRPr="004248A8" w:rsidRDefault="00ED294E" w:rsidP="004248A8">
            <w:pPr>
              <w:spacing w:before="120" w:after="120"/>
              <w:rPr>
                <w:rFonts w:ascii="Verdana" w:hAnsi="Verdana"/>
                <w:sz w:val="20"/>
              </w:rPr>
            </w:pPr>
            <w:r>
              <w:rPr>
                <w:rFonts w:ascii="Verdana" w:hAnsi="Verdana"/>
                <w:sz w:val="20"/>
              </w:rPr>
              <w:t>07/11/2017</w:t>
            </w:r>
          </w:p>
        </w:tc>
      </w:tr>
      <w:tr w:rsidR="004248A8" w:rsidRPr="004248A8" w14:paraId="5EE501FB" w14:textId="77777777" w:rsidTr="00E62C1A">
        <w:trPr>
          <w:trHeight w:val="331"/>
        </w:trPr>
        <w:tc>
          <w:tcPr>
            <w:tcW w:w="3396" w:type="dxa"/>
            <w:shd w:val="clear" w:color="auto" w:fill="F3F3F3"/>
          </w:tcPr>
          <w:p w14:paraId="48A33DDD" w14:textId="77777777" w:rsidR="004248A8" w:rsidRPr="004248A8" w:rsidRDefault="004248A8" w:rsidP="004248A8">
            <w:pPr>
              <w:spacing w:before="120" w:after="120"/>
              <w:rPr>
                <w:rFonts w:ascii="Verdana" w:hAnsi="Verdana"/>
                <w:sz w:val="20"/>
              </w:rPr>
            </w:pPr>
            <w:r w:rsidRPr="004248A8">
              <w:rPr>
                <w:rFonts w:ascii="Verdana" w:hAnsi="Verdana"/>
                <w:sz w:val="20"/>
              </w:rPr>
              <w:t>Date of implementation</w:t>
            </w:r>
          </w:p>
        </w:tc>
        <w:tc>
          <w:tcPr>
            <w:tcW w:w="5251" w:type="dxa"/>
          </w:tcPr>
          <w:p w14:paraId="39892F36" w14:textId="1F007604" w:rsidR="004248A8" w:rsidRPr="004248A8" w:rsidRDefault="00ED294E" w:rsidP="004248A8">
            <w:pPr>
              <w:spacing w:before="120" w:after="120"/>
              <w:rPr>
                <w:rFonts w:ascii="Verdana" w:hAnsi="Verdana"/>
                <w:sz w:val="20"/>
              </w:rPr>
            </w:pPr>
            <w:r>
              <w:rPr>
                <w:rFonts w:ascii="Verdana" w:hAnsi="Verdana"/>
                <w:sz w:val="20"/>
              </w:rPr>
              <w:t>07/11/2017</w:t>
            </w:r>
          </w:p>
        </w:tc>
      </w:tr>
      <w:tr w:rsidR="004248A8" w:rsidRPr="004248A8" w14:paraId="57BA6331" w14:textId="77777777" w:rsidTr="00E62C1A">
        <w:trPr>
          <w:trHeight w:val="350"/>
        </w:trPr>
        <w:tc>
          <w:tcPr>
            <w:tcW w:w="3396" w:type="dxa"/>
            <w:shd w:val="clear" w:color="auto" w:fill="F3F3F3"/>
          </w:tcPr>
          <w:p w14:paraId="1289F272" w14:textId="77777777" w:rsidR="004248A8" w:rsidRPr="004248A8" w:rsidRDefault="004248A8" w:rsidP="004248A8">
            <w:pPr>
              <w:spacing w:before="120" w:after="120"/>
              <w:rPr>
                <w:rFonts w:ascii="Verdana" w:hAnsi="Verdana"/>
                <w:sz w:val="20"/>
              </w:rPr>
            </w:pPr>
            <w:r w:rsidRPr="004248A8">
              <w:rPr>
                <w:rFonts w:ascii="Verdana" w:hAnsi="Verdana"/>
                <w:sz w:val="20"/>
              </w:rPr>
              <w:t>Version no.</w:t>
            </w:r>
          </w:p>
        </w:tc>
        <w:tc>
          <w:tcPr>
            <w:tcW w:w="5251" w:type="dxa"/>
          </w:tcPr>
          <w:p w14:paraId="5126C758" w14:textId="77777777" w:rsidR="004248A8" w:rsidRPr="004248A8" w:rsidRDefault="004248A8" w:rsidP="004248A8">
            <w:pPr>
              <w:spacing w:before="120" w:after="120"/>
              <w:rPr>
                <w:rFonts w:ascii="Verdana" w:hAnsi="Verdana"/>
                <w:sz w:val="20"/>
              </w:rPr>
            </w:pPr>
            <w:r w:rsidRPr="004248A8">
              <w:rPr>
                <w:rFonts w:ascii="Verdana" w:hAnsi="Verdana"/>
                <w:sz w:val="20"/>
              </w:rPr>
              <w:t>2.0</w:t>
            </w:r>
          </w:p>
        </w:tc>
      </w:tr>
      <w:tr w:rsidR="004248A8" w:rsidRPr="004248A8" w14:paraId="246EFBBD" w14:textId="77777777" w:rsidTr="00E62C1A">
        <w:trPr>
          <w:trHeight w:val="969"/>
        </w:trPr>
        <w:tc>
          <w:tcPr>
            <w:tcW w:w="3396" w:type="dxa"/>
            <w:shd w:val="clear" w:color="auto" w:fill="F3F3F3"/>
          </w:tcPr>
          <w:p w14:paraId="247C420B" w14:textId="77777777" w:rsidR="004248A8" w:rsidRPr="004248A8" w:rsidRDefault="004248A8" w:rsidP="004248A8">
            <w:pPr>
              <w:spacing w:before="120" w:after="120"/>
              <w:rPr>
                <w:rFonts w:ascii="Verdana" w:hAnsi="Verdana"/>
                <w:sz w:val="20"/>
              </w:rPr>
            </w:pPr>
            <w:r w:rsidRPr="004248A8">
              <w:rPr>
                <w:rFonts w:ascii="Verdana" w:hAnsi="Verdana"/>
                <w:sz w:val="20"/>
              </w:rPr>
              <w:t>Related Guidelines, Procedures, Codes of Practice etc.</w:t>
            </w:r>
          </w:p>
        </w:tc>
        <w:tc>
          <w:tcPr>
            <w:tcW w:w="5251" w:type="dxa"/>
          </w:tcPr>
          <w:p w14:paraId="4DFE6168" w14:textId="77777777" w:rsidR="004248A8" w:rsidRPr="004248A8" w:rsidRDefault="004248A8" w:rsidP="004248A8">
            <w:pPr>
              <w:spacing w:before="120" w:after="0" w:line="240" w:lineRule="auto"/>
              <w:rPr>
                <w:rFonts w:ascii="Verdana" w:hAnsi="Verdana"/>
                <w:sz w:val="20"/>
              </w:rPr>
            </w:pPr>
            <w:r w:rsidRPr="004248A8">
              <w:rPr>
                <w:rFonts w:ascii="Verdana" w:hAnsi="Verdana"/>
                <w:sz w:val="20"/>
              </w:rPr>
              <w:t>Academic Planning Cycle</w:t>
            </w:r>
          </w:p>
          <w:p w14:paraId="32EBC293" w14:textId="77777777" w:rsidR="004248A8" w:rsidRPr="004248A8" w:rsidRDefault="004248A8" w:rsidP="004248A8">
            <w:pPr>
              <w:spacing w:before="120" w:after="0" w:line="240" w:lineRule="auto"/>
              <w:rPr>
                <w:rFonts w:ascii="Verdana" w:hAnsi="Verdana"/>
                <w:sz w:val="20"/>
              </w:rPr>
            </w:pPr>
            <w:r w:rsidRPr="004248A8">
              <w:rPr>
                <w:rFonts w:ascii="Verdana" w:hAnsi="Verdana"/>
                <w:sz w:val="20"/>
              </w:rPr>
              <w:t>Business Planning Cycle</w:t>
            </w:r>
          </w:p>
          <w:p w14:paraId="19945B8B" w14:textId="77777777" w:rsidR="004248A8" w:rsidRPr="004248A8" w:rsidRDefault="004248A8" w:rsidP="004248A8">
            <w:pPr>
              <w:spacing w:before="120" w:after="0" w:line="240" w:lineRule="auto"/>
              <w:rPr>
                <w:rFonts w:ascii="Verdana" w:hAnsi="Verdana"/>
                <w:sz w:val="20"/>
              </w:rPr>
            </w:pPr>
            <w:r w:rsidRPr="004248A8">
              <w:rPr>
                <w:rFonts w:ascii="Verdana" w:hAnsi="Verdana"/>
                <w:sz w:val="20"/>
              </w:rPr>
              <w:t xml:space="preserve">Competition and Markets Authority Guidance </w:t>
            </w:r>
          </w:p>
          <w:p w14:paraId="6B88AAAD" w14:textId="77777777" w:rsidR="004248A8" w:rsidRPr="004248A8" w:rsidRDefault="004248A8" w:rsidP="004248A8">
            <w:pPr>
              <w:spacing w:before="120" w:after="0" w:line="240" w:lineRule="auto"/>
              <w:rPr>
                <w:rFonts w:ascii="Verdana" w:hAnsi="Verdana"/>
                <w:sz w:val="20"/>
              </w:rPr>
            </w:pPr>
            <w:r w:rsidRPr="004248A8">
              <w:rPr>
                <w:rFonts w:ascii="Verdana" w:hAnsi="Verdana"/>
                <w:sz w:val="20"/>
              </w:rPr>
              <w:t>Academic Regulations</w:t>
            </w:r>
          </w:p>
          <w:p w14:paraId="75089E1D" w14:textId="77777777" w:rsidR="004248A8" w:rsidRPr="004248A8" w:rsidRDefault="004248A8" w:rsidP="004248A8">
            <w:pPr>
              <w:spacing w:before="120" w:after="0" w:line="240" w:lineRule="auto"/>
              <w:rPr>
                <w:rFonts w:ascii="Verdana" w:hAnsi="Verdana"/>
                <w:sz w:val="20"/>
              </w:rPr>
            </w:pPr>
            <w:r w:rsidRPr="004248A8">
              <w:rPr>
                <w:rFonts w:ascii="Verdana" w:hAnsi="Verdana"/>
                <w:sz w:val="20"/>
              </w:rPr>
              <w:t>Quality Framework</w:t>
            </w:r>
          </w:p>
          <w:p w14:paraId="66A6B4B2" w14:textId="77777777" w:rsidR="004248A8" w:rsidRPr="004248A8" w:rsidRDefault="004248A8" w:rsidP="004248A8">
            <w:pPr>
              <w:spacing w:before="120" w:after="0" w:line="240" w:lineRule="auto"/>
              <w:rPr>
                <w:rFonts w:ascii="Verdana" w:hAnsi="Verdana"/>
                <w:sz w:val="20"/>
              </w:rPr>
            </w:pPr>
          </w:p>
        </w:tc>
      </w:tr>
      <w:tr w:rsidR="004248A8" w:rsidRPr="004248A8" w14:paraId="7E6FA6C1" w14:textId="77777777" w:rsidTr="00E62C1A">
        <w:trPr>
          <w:trHeight w:val="331"/>
        </w:trPr>
        <w:tc>
          <w:tcPr>
            <w:tcW w:w="3396" w:type="dxa"/>
            <w:shd w:val="clear" w:color="auto" w:fill="F3F3F3"/>
          </w:tcPr>
          <w:p w14:paraId="50BC4ACA" w14:textId="77777777" w:rsidR="004248A8" w:rsidRPr="004248A8" w:rsidRDefault="004248A8" w:rsidP="004248A8">
            <w:pPr>
              <w:spacing w:before="120" w:after="120"/>
              <w:rPr>
                <w:rFonts w:ascii="Verdana" w:hAnsi="Verdana"/>
                <w:sz w:val="20"/>
              </w:rPr>
            </w:pPr>
            <w:r w:rsidRPr="004248A8">
              <w:rPr>
                <w:rFonts w:ascii="Verdana" w:hAnsi="Verdana"/>
                <w:sz w:val="20"/>
              </w:rPr>
              <w:t>Review interval</w:t>
            </w:r>
          </w:p>
        </w:tc>
        <w:tc>
          <w:tcPr>
            <w:tcW w:w="5251" w:type="dxa"/>
          </w:tcPr>
          <w:p w14:paraId="628E0C02" w14:textId="77777777" w:rsidR="004248A8" w:rsidRPr="004248A8" w:rsidRDefault="004248A8" w:rsidP="004248A8">
            <w:pPr>
              <w:spacing w:before="120" w:after="120"/>
              <w:rPr>
                <w:rFonts w:ascii="Verdana" w:hAnsi="Verdana"/>
                <w:sz w:val="20"/>
              </w:rPr>
            </w:pPr>
            <w:r w:rsidRPr="004248A8">
              <w:rPr>
                <w:rFonts w:ascii="Verdana" w:hAnsi="Verdana"/>
                <w:sz w:val="20"/>
              </w:rPr>
              <w:t>Three years</w:t>
            </w:r>
          </w:p>
        </w:tc>
      </w:tr>
    </w:tbl>
    <w:p w14:paraId="1C5D27E3" w14:textId="77777777" w:rsidR="004248A8" w:rsidRPr="004248A8" w:rsidRDefault="004248A8" w:rsidP="004248A8">
      <w:pPr>
        <w:spacing w:after="0" w:line="240" w:lineRule="auto"/>
        <w:jc w:val="center"/>
        <w:rPr>
          <w:rFonts w:ascii="Verdana" w:eastAsia="Times New Roman" w:hAnsi="Verdana" w:cs="Arial"/>
          <w:b/>
          <w:sz w:val="32"/>
          <w:szCs w:val="32"/>
          <w:lang w:eastAsia="en-GB"/>
        </w:rPr>
      </w:pPr>
    </w:p>
    <w:p w14:paraId="3CCFE6FD" w14:textId="77777777" w:rsidR="004248A8" w:rsidRPr="004248A8" w:rsidRDefault="004248A8" w:rsidP="004248A8">
      <w:pPr>
        <w:jc w:val="center"/>
        <w:rPr>
          <w:rFonts w:ascii="Verdana" w:hAnsi="Verdana"/>
        </w:rPr>
      </w:pPr>
    </w:p>
    <w:p w14:paraId="0EDD423E" w14:textId="77777777" w:rsidR="004248A8" w:rsidRPr="004248A8" w:rsidRDefault="004248A8" w:rsidP="004248A8">
      <w:pPr>
        <w:spacing w:after="0" w:line="240" w:lineRule="auto"/>
        <w:jc w:val="center"/>
        <w:rPr>
          <w:rFonts w:ascii="Verdana" w:eastAsia="Times" w:hAnsi="Verdana"/>
          <w:b/>
          <w:i/>
          <w:color w:val="999999"/>
          <w:sz w:val="20"/>
          <w:szCs w:val="20"/>
          <w:lang w:eastAsia="en-GB"/>
        </w:rPr>
      </w:pPr>
      <w:r w:rsidRPr="004248A8">
        <w:rPr>
          <w:rFonts w:ascii="Verdana" w:eastAsia="Times" w:hAnsi="Verdana"/>
          <w:b/>
          <w:i/>
          <w:color w:val="999999"/>
          <w:sz w:val="20"/>
          <w:szCs w:val="20"/>
          <w:lang w:eastAsia="en-GB"/>
        </w:rPr>
        <w:lastRenderedPageBreak/>
        <w:t>NB.  This policy is available on the University of Cumbria intranet and it should be noted that any printed copies are uncontrolled and cannot be guaranteed to constitute the current version of the policy.</w:t>
      </w:r>
    </w:p>
    <w:p w14:paraId="5942FF31" w14:textId="77777777" w:rsidR="004248A8" w:rsidRPr="004248A8" w:rsidRDefault="004248A8" w:rsidP="004248A8">
      <w:pPr>
        <w:numPr>
          <w:ilvl w:val="0"/>
          <w:numId w:val="27"/>
        </w:numPr>
        <w:spacing w:after="0" w:line="240" w:lineRule="auto"/>
        <w:rPr>
          <w:rFonts w:ascii="Verdana" w:eastAsia="Times New Roman" w:hAnsi="Verdana" w:cs="Calibri"/>
          <w:b/>
          <w:sz w:val="20"/>
          <w:szCs w:val="20"/>
          <w:lang w:eastAsia="en-GB"/>
        </w:rPr>
      </w:pPr>
      <w:r w:rsidRPr="004248A8">
        <w:rPr>
          <w:rFonts w:ascii="Arial" w:eastAsia="Times New Roman" w:hAnsi="Arial" w:cs="Arial"/>
          <w:sz w:val="24"/>
          <w:lang w:eastAsia="en-GB"/>
        </w:rPr>
        <w:br w:type="page"/>
      </w:r>
      <w:r w:rsidRPr="004248A8">
        <w:rPr>
          <w:rFonts w:ascii="Verdana" w:eastAsia="Times New Roman" w:hAnsi="Verdana" w:cs="Calibri"/>
          <w:b/>
          <w:sz w:val="20"/>
          <w:szCs w:val="20"/>
          <w:lang w:eastAsia="en-GB"/>
        </w:rPr>
        <w:lastRenderedPageBreak/>
        <w:t>Context</w:t>
      </w:r>
    </w:p>
    <w:p w14:paraId="7A44DD41" w14:textId="77777777" w:rsidR="004248A8" w:rsidRPr="004248A8" w:rsidRDefault="004248A8" w:rsidP="004248A8">
      <w:pPr>
        <w:spacing w:after="0" w:line="240" w:lineRule="auto"/>
        <w:rPr>
          <w:rFonts w:ascii="Verdana" w:eastAsia="Times New Roman" w:hAnsi="Verdana" w:cs="Calibri"/>
          <w:b/>
          <w:sz w:val="20"/>
          <w:szCs w:val="20"/>
          <w:lang w:eastAsia="en-GB"/>
        </w:rPr>
      </w:pPr>
    </w:p>
    <w:p w14:paraId="3EE8FA61" w14:textId="77777777" w:rsidR="004248A8" w:rsidRPr="004248A8" w:rsidRDefault="004248A8" w:rsidP="004248A8">
      <w:pPr>
        <w:spacing w:after="0" w:line="240" w:lineRule="auto"/>
        <w:jc w:val="both"/>
        <w:rPr>
          <w:rFonts w:ascii="Verdana" w:eastAsia="Times New Roman" w:hAnsi="Verdana" w:cs="Arial"/>
          <w:b/>
          <w:bCs/>
          <w:sz w:val="20"/>
          <w:szCs w:val="20"/>
          <w:lang w:eastAsia="en-GB"/>
        </w:rPr>
      </w:pPr>
      <w:r w:rsidRPr="004248A8">
        <w:rPr>
          <w:rFonts w:ascii="Verdana" w:eastAsia="Times New Roman" w:hAnsi="Verdana" w:cs="Arial"/>
          <w:bCs/>
          <w:sz w:val="20"/>
          <w:szCs w:val="20"/>
          <w:lang w:eastAsia="en-GB"/>
        </w:rPr>
        <w:t xml:space="preserve">The University Academic Regulations (B5) allow </w:t>
      </w:r>
      <w:r w:rsidRPr="004248A8">
        <w:rPr>
          <w:rFonts w:ascii="Verdana" w:eastAsia="Times New Roman" w:hAnsi="Verdana" w:cs="Arial"/>
          <w:sz w:val="20"/>
          <w:szCs w:val="20"/>
          <w:lang w:eastAsia="en-GB"/>
        </w:rPr>
        <w:t>Academic Board to, through the Programme Withdrawal Procedures, agree the withdrawal of a programme if it has evidence that the programme is no longer meeting minimum acceptable academic standards or where recruitment levels are no longer viable.</w:t>
      </w:r>
    </w:p>
    <w:p w14:paraId="0ADA2725" w14:textId="77777777" w:rsidR="004248A8" w:rsidRPr="004248A8" w:rsidRDefault="004248A8" w:rsidP="004248A8">
      <w:pPr>
        <w:tabs>
          <w:tab w:val="left" w:pos="720"/>
          <w:tab w:val="left" w:pos="1080"/>
          <w:tab w:val="left" w:pos="1440"/>
        </w:tabs>
        <w:spacing w:after="0" w:line="240" w:lineRule="auto"/>
        <w:ind w:left="720" w:hanging="720"/>
        <w:jc w:val="both"/>
        <w:rPr>
          <w:rFonts w:ascii="Verdana" w:eastAsia="Times New Roman" w:hAnsi="Verdana" w:cs="Arial"/>
          <w:sz w:val="20"/>
          <w:szCs w:val="20"/>
          <w:lang w:eastAsia="en-GB"/>
        </w:rPr>
      </w:pPr>
    </w:p>
    <w:p w14:paraId="6E1C69FD" w14:textId="77777777" w:rsidR="004248A8" w:rsidRPr="004248A8" w:rsidRDefault="004248A8" w:rsidP="004248A8">
      <w:pPr>
        <w:spacing w:after="0" w:line="240" w:lineRule="auto"/>
        <w:rPr>
          <w:rFonts w:ascii="Verdana" w:eastAsia="Times New Roman" w:hAnsi="Verdana" w:cs="Arial"/>
          <w:sz w:val="20"/>
          <w:szCs w:val="20"/>
          <w:lang w:eastAsia="en-GB"/>
        </w:rPr>
      </w:pPr>
      <w:r w:rsidRPr="004248A8">
        <w:rPr>
          <w:rFonts w:ascii="Verdana" w:eastAsia="Times New Roman" w:hAnsi="Verdana" w:cs="Calibri"/>
          <w:sz w:val="20"/>
          <w:szCs w:val="20"/>
          <w:lang w:eastAsia="en-GB"/>
        </w:rPr>
        <w:t>Programme withdrawal and suspension procedures provide a formal means of withdrawing programmes from the University’s portfolio or suspending programmes from recruitment.</w:t>
      </w:r>
      <w:r w:rsidRPr="004248A8">
        <w:rPr>
          <w:rFonts w:ascii="Verdana" w:eastAsia="Times New Roman" w:hAnsi="Verdana" w:cs="Arial"/>
          <w:sz w:val="20"/>
          <w:szCs w:val="20"/>
          <w:lang w:eastAsia="en-GB"/>
        </w:rPr>
        <w:t xml:space="preserve">  </w:t>
      </w:r>
    </w:p>
    <w:p w14:paraId="531B0DEA" w14:textId="77777777" w:rsidR="004248A8" w:rsidRPr="004248A8" w:rsidRDefault="004248A8" w:rsidP="004248A8">
      <w:pPr>
        <w:spacing w:after="0" w:line="240" w:lineRule="auto"/>
        <w:rPr>
          <w:rFonts w:ascii="Verdana" w:eastAsia="Times New Roman" w:hAnsi="Verdana" w:cs="Arial"/>
          <w:sz w:val="20"/>
          <w:szCs w:val="20"/>
          <w:lang w:eastAsia="en-GB"/>
        </w:rPr>
      </w:pPr>
    </w:p>
    <w:p w14:paraId="4FF19F5A" w14:textId="77777777" w:rsidR="004248A8" w:rsidRPr="004248A8" w:rsidRDefault="004248A8" w:rsidP="004248A8">
      <w:pPr>
        <w:spacing w:after="0" w:line="240" w:lineRule="auto"/>
        <w:rPr>
          <w:rFonts w:ascii="Verdana" w:eastAsia="Times New Roman" w:hAnsi="Verdana" w:cs="Arial"/>
          <w:iCs/>
          <w:sz w:val="20"/>
          <w:szCs w:val="20"/>
          <w:lang w:eastAsia="en-GB"/>
        </w:rPr>
      </w:pPr>
      <w:r w:rsidRPr="004248A8">
        <w:rPr>
          <w:rFonts w:ascii="Verdana" w:eastAsia="Times New Roman" w:hAnsi="Verdana" w:cs="Arial"/>
          <w:iCs/>
          <w:sz w:val="20"/>
          <w:szCs w:val="20"/>
          <w:lang w:eastAsia="en-GB"/>
        </w:rPr>
        <w:t>Programme withdrawal may be considered for a number of reasons including, lack of alignment to the strategic plan, viability or quality concerns or other external factors.  </w:t>
      </w:r>
    </w:p>
    <w:p w14:paraId="037B1544" w14:textId="77777777" w:rsidR="004248A8" w:rsidRPr="004248A8" w:rsidRDefault="004248A8" w:rsidP="004248A8">
      <w:pPr>
        <w:spacing w:after="0" w:line="240" w:lineRule="auto"/>
        <w:rPr>
          <w:rFonts w:ascii="Verdana" w:eastAsia="Times New Roman" w:hAnsi="Verdana" w:cs="Arial"/>
          <w:iCs/>
          <w:sz w:val="20"/>
          <w:szCs w:val="20"/>
          <w:lang w:eastAsia="en-GB"/>
        </w:rPr>
      </w:pPr>
    </w:p>
    <w:p w14:paraId="23EB95D1"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The Consumer Protection Regulations (2008) and Consumer Contracts Regulations (2013) protect the rights of students.  The University enters a contractual relationship with students to deliver a programme in accordance with an offer made and accepted based on information provided.   </w:t>
      </w:r>
    </w:p>
    <w:p w14:paraId="1FDF2AAD" w14:textId="77777777" w:rsidR="004248A8" w:rsidRPr="004248A8" w:rsidRDefault="004248A8" w:rsidP="004248A8">
      <w:pPr>
        <w:spacing w:after="0" w:line="240" w:lineRule="auto"/>
        <w:rPr>
          <w:rFonts w:ascii="Verdana" w:eastAsia="Times New Roman" w:hAnsi="Verdana" w:cs="Calibri"/>
          <w:sz w:val="20"/>
          <w:szCs w:val="20"/>
          <w:lang w:eastAsia="en-GB"/>
        </w:rPr>
      </w:pPr>
    </w:p>
    <w:p w14:paraId="4F74E7B8" w14:textId="77777777" w:rsidR="004248A8" w:rsidRPr="004248A8" w:rsidRDefault="004248A8" w:rsidP="004248A8">
      <w:pPr>
        <w:autoSpaceDE w:val="0"/>
        <w:autoSpaceDN w:val="0"/>
        <w:adjustRightInd w:val="0"/>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As detailed in the ‘Higher education course changes and closures: statement of good practice’:</w:t>
      </w:r>
      <w:r w:rsidRPr="004248A8">
        <w:rPr>
          <w:rFonts w:ascii="Verdana" w:eastAsia="Times New Roman" w:hAnsi="Verdana" w:cs="Calibri"/>
          <w:sz w:val="20"/>
          <w:szCs w:val="20"/>
          <w:vertAlign w:val="superscript"/>
          <w:lang w:eastAsia="en-GB"/>
        </w:rPr>
        <w:footnoteReference w:id="1"/>
      </w:r>
    </w:p>
    <w:p w14:paraId="52EA5283" w14:textId="77777777" w:rsidR="004248A8" w:rsidRPr="004248A8" w:rsidRDefault="004248A8" w:rsidP="004248A8">
      <w:pPr>
        <w:spacing w:after="0" w:line="240" w:lineRule="auto"/>
        <w:rPr>
          <w:rFonts w:ascii="Verdana" w:eastAsia="Times New Roman" w:hAnsi="Verdana" w:cs="Calibri"/>
          <w:sz w:val="20"/>
          <w:szCs w:val="20"/>
          <w:lang w:eastAsia="en-GB"/>
        </w:rPr>
      </w:pPr>
    </w:p>
    <w:p w14:paraId="026C4F2C" w14:textId="77777777" w:rsidR="004248A8" w:rsidRPr="004248A8" w:rsidRDefault="004248A8" w:rsidP="004248A8">
      <w:pPr>
        <w:spacing w:after="0" w:line="240" w:lineRule="auto"/>
        <w:rPr>
          <w:rFonts w:ascii="Verdana" w:eastAsia="Times New Roman" w:hAnsi="Verdana" w:cs="Calibri"/>
          <w:i/>
          <w:sz w:val="20"/>
          <w:szCs w:val="20"/>
          <w:lang w:eastAsia="en-GB"/>
        </w:rPr>
      </w:pPr>
      <w:r w:rsidRPr="004248A8">
        <w:rPr>
          <w:rFonts w:ascii="Verdana" w:eastAsia="Times New Roman" w:hAnsi="Verdana" w:cs="Calibri"/>
          <w:sz w:val="20"/>
          <w:szCs w:val="20"/>
          <w:lang w:eastAsia="en-GB"/>
        </w:rPr>
        <w:t>“</w:t>
      </w:r>
      <w:r w:rsidRPr="004248A8">
        <w:rPr>
          <w:rFonts w:ascii="Verdana" w:eastAsia="Times New Roman" w:hAnsi="Verdana" w:cs="Calibri"/>
          <w:i/>
          <w:sz w:val="20"/>
          <w:szCs w:val="20"/>
          <w:lang w:eastAsia="en-GB"/>
        </w:rPr>
        <w:t>If a programme can no longer be offered, arrangements need to be made for existing students to be provided with suitable alternatives so that the student is enabled to learn and achieve until the end of their programme.</w:t>
      </w:r>
    </w:p>
    <w:p w14:paraId="10260DD3" w14:textId="77777777" w:rsidR="004248A8" w:rsidRPr="004248A8" w:rsidRDefault="004248A8" w:rsidP="004248A8">
      <w:pPr>
        <w:spacing w:after="0" w:line="240" w:lineRule="auto"/>
        <w:rPr>
          <w:rFonts w:ascii="Verdana" w:eastAsia="Times New Roman" w:hAnsi="Verdana" w:cs="Calibri"/>
          <w:i/>
          <w:sz w:val="20"/>
          <w:szCs w:val="20"/>
          <w:lang w:eastAsia="en-GB"/>
        </w:rPr>
      </w:pPr>
    </w:p>
    <w:p w14:paraId="1EED0C08" w14:textId="77777777" w:rsidR="004248A8" w:rsidRPr="004248A8" w:rsidRDefault="004248A8" w:rsidP="004248A8">
      <w:pPr>
        <w:spacing w:after="0" w:line="240" w:lineRule="auto"/>
        <w:rPr>
          <w:rFonts w:ascii="Verdana" w:eastAsia="Times New Roman" w:hAnsi="Verdana" w:cs="Calibri"/>
          <w:i/>
          <w:sz w:val="20"/>
          <w:szCs w:val="20"/>
          <w:lang w:eastAsia="en-GB"/>
        </w:rPr>
      </w:pPr>
      <w:r w:rsidRPr="004248A8">
        <w:rPr>
          <w:rFonts w:ascii="Verdana" w:eastAsia="Times New Roman" w:hAnsi="Verdana" w:cs="Calibri"/>
          <w:i/>
          <w:sz w:val="20"/>
          <w:szCs w:val="20"/>
          <w:lang w:eastAsia="en-GB"/>
        </w:rPr>
        <w:t>If teaching-out in the institution is not possible, policies should address the following areas:</w:t>
      </w:r>
    </w:p>
    <w:p w14:paraId="06F3581D" w14:textId="77777777" w:rsidR="004248A8" w:rsidRPr="004248A8" w:rsidRDefault="004248A8" w:rsidP="004248A8">
      <w:pPr>
        <w:spacing w:after="0" w:line="240" w:lineRule="auto"/>
        <w:rPr>
          <w:rFonts w:ascii="Verdana" w:eastAsia="Times New Roman" w:hAnsi="Verdana" w:cs="Calibri"/>
          <w:i/>
          <w:sz w:val="20"/>
          <w:szCs w:val="20"/>
          <w:lang w:eastAsia="en-GB"/>
        </w:rPr>
      </w:pPr>
    </w:p>
    <w:p w14:paraId="408815C5" w14:textId="77777777" w:rsidR="004248A8" w:rsidRPr="004248A8" w:rsidRDefault="004248A8" w:rsidP="004248A8">
      <w:pPr>
        <w:numPr>
          <w:ilvl w:val="0"/>
          <w:numId w:val="26"/>
        </w:numPr>
        <w:spacing w:after="0" w:line="240" w:lineRule="auto"/>
        <w:rPr>
          <w:rFonts w:ascii="Verdana" w:eastAsia="Times New Roman" w:hAnsi="Verdana" w:cs="Calibri"/>
          <w:i/>
          <w:sz w:val="20"/>
          <w:szCs w:val="20"/>
          <w:lang w:eastAsia="en-GB"/>
        </w:rPr>
      </w:pPr>
      <w:r w:rsidRPr="004248A8">
        <w:rPr>
          <w:rFonts w:ascii="Verdana" w:eastAsia="Times New Roman" w:hAnsi="Verdana" w:cs="Calibri"/>
          <w:i/>
          <w:sz w:val="20"/>
          <w:szCs w:val="20"/>
          <w:lang w:eastAsia="en-GB"/>
        </w:rPr>
        <w:t>when and how the institution will offer alternative courses within the institution</w:t>
      </w:r>
    </w:p>
    <w:p w14:paraId="3FB7FA1D" w14:textId="77777777" w:rsidR="004248A8" w:rsidRPr="004248A8" w:rsidRDefault="004248A8" w:rsidP="004248A8">
      <w:pPr>
        <w:numPr>
          <w:ilvl w:val="0"/>
          <w:numId w:val="26"/>
        </w:numPr>
        <w:spacing w:after="0" w:line="240" w:lineRule="auto"/>
        <w:rPr>
          <w:rFonts w:ascii="Verdana" w:eastAsia="Times New Roman" w:hAnsi="Verdana" w:cs="Calibri"/>
          <w:i/>
          <w:sz w:val="20"/>
          <w:szCs w:val="20"/>
          <w:lang w:eastAsia="en-GB"/>
        </w:rPr>
      </w:pPr>
      <w:r w:rsidRPr="004248A8">
        <w:rPr>
          <w:rFonts w:ascii="Verdana" w:eastAsia="Times New Roman" w:hAnsi="Verdana" w:cs="Calibri"/>
          <w:i/>
          <w:sz w:val="20"/>
          <w:szCs w:val="20"/>
          <w:lang w:eastAsia="en-GB"/>
        </w:rPr>
        <w:t>how the institution will help students to transfer to other providers, including transfer of credit and academic progress</w:t>
      </w:r>
    </w:p>
    <w:p w14:paraId="1002F252" w14:textId="77777777" w:rsidR="004248A8" w:rsidRPr="004248A8" w:rsidRDefault="004248A8" w:rsidP="004248A8">
      <w:pPr>
        <w:numPr>
          <w:ilvl w:val="0"/>
          <w:numId w:val="26"/>
        </w:numPr>
        <w:spacing w:after="0" w:line="240" w:lineRule="auto"/>
        <w:rPr>
          <w:rFonts w:ascii="Verdana" w:eastAsia="Times New Roman" w:hAnsi="Verdana" w:cs="Calibri"/>
          <w:i/>
          <w:sz w:val="20"/>
          <w:szCs w:val="20"/>
          <w:lang w:eastAsia="en-GB"/>
        </w:rPr>
      </w:pPr>
      <w:r w:rsidRPr="004248A8">
        <w:rPr>
          <w:rFonts w:ascii="Verdana" w:eastAsia="Times New Roman" w:hAnsi="Verdana" w:cs="Calibri"/>
          <w:i/>
          <w:sz w:val="20"/>
          <w:szCs w:val="20"/>
          <w:lang w:eastAsia="en-GB"/>
        </w:rPr>
        <w:t>where teaching cannot be completed or where none of the proposed options are acceptable to the student there should be clear policies for refunding all or part of paid fees and recording the amount of credit/academic progress achieved.”</w:t>
      </w:r>
    </w:p>
    <w:p w14:paraId="5C16E7B7" w14:textId="77777777" w:rsidR="004248A8" w:rsidRPr="004248A8" w:rsidRDefault="004248A8" w:rsidP="004248A8">
      <w:pPr>
        <w:spacing w:after="0" w:line="240" w:lineRule="auto"/>
        <w:ind w:left="1440"/>
        <w:rPr>
          <w:rFonts w:ascii="Verdana" w:eastAsia="Times New Roman" w:hAnsi="Verdana" w:cs="Calibri"/>
          <w:i/>
          <w:sz w:val="20"/>
          <w:szCs w:val="20"/>
          <w:lang w:eastAsia="en-GB"/>
        </w:rPr>
      </w:pPr>
    </w:p>
    <w:p w14:paraId="75C42C99"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These procedures are designed to ensure that public information on the University’s offer is accurate and that full consideration is given to any impact on prospective and current students.</w:t>
      </w:r>
    </w:p>
    <w:p w14:paraId="01EFD09D" w14:textId="77777777" w:rsidR="004248A8" w:rsidRPr="004248A8" w:rsidRDefault="004248A8" w:rsidP="004248A8">
      <w:pPr>
        <w:spacing w:after="0" w:line="240" w:lineRule="auto"/>
        <w:rPr>
          <w:rFonts w:ascii="Verdana" w:eastAsia="Times New Roman" w:hAnsi="Verdana" w:cs="Calibri"/>
          <w:sz w:val="20"/>
          <w:szCs w:val="20"/>
          <w:lang w:eastAsia="en-GB"/>
        </w:rPr>
      </w:pPr>
    </w:p>
    <w:p w14:paraId="6822C138"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The UK Quality Code has informed these procedures for Higher Education.</w:t>
      </w:r>
    </w:p>
    <w:p w14:paraId="185B654E" w14:textId="77777777" w:rsidR="004248A8" w:rsidRPr="004248A8" w:rsidRDefault="004248A8" w:rsidP="004248A8">
      <w:pPr>
        <w:spacing w:after="0" w:line="240" w:lineRule="auto"/>
        <w:rPr>
          <w:rFonts w:ascii="Verdana" w:eastAsia="Times New Roman" w:hAnsi="Verdana" w:cs="Arial"/>
          <w:iCs/>
          <w:sz w:val="20"/>
          <w:szCs w:val="20"/>
          <w:lang w:eastAsia="en-GB"/>
        </w:rPr>
      </w:pPr>
    </w:p>
    <w:p w14:paraId="054A114B" w14:textId="77777777" w:rsidR="004248A8" w:rsidRPr="004248A8" w:rsidRDefault="004248A8" w:rsidP="004248A8">
      <w:pPr>
        <w:numPr>
          <w:ilvl w:val="0"/>
          <w:numId w:val="27"/>
        </w:numPr>
        <w:spacing w:after="0" w:line="240" w:lineRule="auto"/>
        <w:rPr>
          <w:rFonts w:ascii="Verdana" w:eastAsia="Times New Roman" w:hAnsi="Verdana" w:cs="Arial"/>
          <w:b/>
          <w:iCs/>
          <w:sz w:val="20"/>
          <w:szCs w:val="20"/>
          <w:lang w:eastAsia="en-GB"/>
        </w:rPr>
      </w:pPr>
      <w:r w:rsidRPr="004248A8">
        <w:rPr>
          <w:rFonts w:ascii="Verdana" w:eastAsia="Times New Roman" w:hAnsi="Verdana" w:cs="Arial"/>
          <w:b/>
          <w:iCs/>
          <w:sz w:val="20"/>
          <w:szCs w:val="20"/>
          <w:lang w:eastAsia="en-GB"/>
        </w:rPr>
        <w:t>Programme Withdrawal</w:t>
      </w:r>
    </w:p>
    <w:p w14:paraId="05862751" w14:textId="77777777" w:rsidR="004248A8" w:rsidRPr="004248A8" w:rsidRDefault="004248A8" w:rsidP="004248A8">
      <w:pPr>
        <w:spacing w:after="0" w:line="240" w:lineRule="auto"/>
        <w:rPr>
          <w:rFonts w:ascii="Verdana" w:eastAsia="Times New Roman" w:hAnsi="Verdana" w:cs="Arial"/>
          <w:iCs/>
          <w:sz w:val="20"/>
          <w:szCs w:val="20"/>
          <w:lang w:eastAsia="en-GB"/>
        </w:rPr>
      </w:pPr>
    </w:p>
    <w:p w14:paraId="069F0354"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Programmes at risk of </w:t>
      </w:r>
      <w:r w:rsidRPr="004248A8">
        <w:rPr>
          <w:rFonts w:ascii="Verdana" w:eastAsia="Times New Roman" w:hAnsi="Verdana" w:cs="Arial"/>
          <w:iCs/>
          <w:sz w:val="20"/>
          <w:szCs w:val="20"/>
          <w:lang w:eastAsia="en-GB"/>
        </w:rPr>
        <w:t xml:space="preserve">withdrawal are identified as part of the normal </w:t>
      </w:r>
      <w:r w:rsidRPr="004248A8">
        <w:rPr>
          <w:rFonts w:ascii="Verdana" w:eastAsia="Times New Roman" w:hAnsi="Verdana" w:cs="Calibri"/>
          <w:sz w:val="20"/>
          <w:szCs w:val="20"/>
          <w:lang w:eastAsia="en-GB"/>
        </w:rPr>
        <w:t>academic planning cycle.  Timescales may vary according to the nature of the proposal and any influencing internal/external factors.</w:t>
      </w:r>
    </w:p>
    <w:p w14:paraId="1D4F6A23" w14:textId="77777777" w:rsidR="004248A8" w:rsidRPr="004248A8" w:rsidRDefault="004248A8" w:rsidP="004248A8">
      <w:pPr>
        <w:spacing w:after="0" w:line="240" w:lineRule="auto"/>
        <w:rPr>
          <w:rFonts w:ascii="Verdana" w:eastAsia="Times New Roman" w:hAnsi="Verdana" w:cs="Calibri"/>
          <w:sz w:val="20"/>
          <w:szCs w:val="20"/>
          <w:lang w:eastAsia="en-GB"/>
        </w:rPr>
      </w:pPr>
    </w:p>
    <w:p w14:paraId="0AA7722C" w14:textId="08A658FE"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Following approval in principle by the </w:t>
      </w:r>
      <w:r w:rsidR="006470E9">
        <w:rPr>
          <w:rFonts w:ascii="Verdana" w:eastAsia="Times New Roman" w:hAnsi="Verdana" w:cs="Calibri"/>
          <w:sz w:val="20"/>
          <w:szCs w:val="20"/>
          <w:lang w:eastAsia="en-GB"/>
        </w:rPr>
        <w:t>Chair of ASPC</w:t>
      </w:r>
      <w:r w:rsidRPr="004248A8">
        <w:rPr>
          <w:rFonts w:ascii="Verdana" w:eastAsia="Times New Roman" w:hAnsi="Verdana" w:cs="Calibri"/>
          <w:sz w:val="20"/>
          <w:szCs w:val="20"/>
          <w:lang w:eastAsia="en-GB"/>
        </w:rPr>
        <w:t xml:space="preserve">, </w:t>
      </w:r>
      <w:r w:rsidRPr="004248A8">
        <w:rPr>
          <w:rFonts w:ascii="Verdana" w:eastAsia="Times New Roman" w:hAnsi="Verdana" w:cs="Arial"/>
          <w:iCs/>
          <w:sz w:val="20"/>
          <w:szCs w:val="20"/>
          <w:lang w:eastAsia="en-GB"/>
        </w:rPr>
        <w:t xml:space="preserve">Heads of Department will work with relevant stakeholders to ensure consultation with </w:t>
      </w:r>
      <w:r w:rsidRPr="004248A8">
        <w:rPr>
          <w:rFonts w:ascii="Verdana" w:eastAsia="Times New Roman" w:hAnsi="Verdana" w:cs="Calibri"/>
          <w:sz w:val="20"/>
          <w:szCs w:val="20"/>
          <w:lang w:eastAsia="en-GB"/>
        </w:rPr>
        <w:t xml:space="preserve">all interested parties on the implications of the proposal and to agree any necessary actions to safeguard the student experience.   </w:t>
      </w:r>
    </w:p>
    <w:p w14:paraId="54D3B0F7" w14:textId="77777777" w:rsidR="004248A8" w:rsidRPr="004248A8" w:rsidRDefault="004248A8" w:rsidP="004248A8">
      <w:pPr>
        <w:spacing w:after="0" w:line="240" w:lineRule="auto"/>
        <w:rPr>
          <w:rFonts w:ascii="Verdana" w:eastAsia="Times New Roman" w:hAnsi="Verdana" w:cs="Calibri"/>
          <w:sz w:val="20"/>
          <w:szCs w:val="20"/>
          <w:lang w:eastAsia="en-GB"/>
        </w:rPr>
      </w:pPr>
    </w:p>
    <w:p w14:paraId="5838C94C" w14:textId="4841D95C"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hAnsi="Verdana" w:cs="Calibri"/>
          <w:sz w:val="20"/>
          <w:szCs w:val="20"/>
        </w:rPr>
        <w:t xml:space="preserve">The </w:t>
      </w:r>
      <w:r w:rsidR="006470E9">
        <w:rPr>
          <w:rFonts w:ascii="Verdana" w:hAnsi="Verdana" w:cs="Calibri"/>
          <w:sz w:val="20"/>
          <w:szCs w:val="20"/>
        </w:rPr>
        <w:t xml:space="preserve">Chair of ASPC </w:t>
      </w:r>
      <w:r w:rsidRPr="004248A8">
        <w:rPr>
          <w:rFonts w:ascii="Verdana" w:hAnsi="Verdana" w:cs="Calibri"/>
          <w:sz w:val="20"/>
          <w:szCs w:val="20"/>
        </w:rPr>
        <w:t xml:space="preserve">will consider requests for programme withdrawal through completion of </w:t>
      </w:r>
      <w:r w:rsidRPr="004248A8">
        <w:rPr>
          <w:rFonts w:ascii="Verdana" w:eastAsia="Times New Roman" w:hAnsi="Verdana" w:cs="Calibri"/>
          <w:sz w:val="20"/>
          <w:szCs w:val="20"/>
          <w:lang w:eastAsia="en-GB"/>
        </w:rPr>
        <w:t xml:space="preserve">the withdrawal template prior to making recommendations to Academic Board. </w:t>
      </w:r>
    </w:p>
    <w:p w14:paraId="158F5316" w14:textId="77777777" w:rsidR="004248A8" w:rsidRPr="004248A8" w:rsidRDefault="004248A8" w:rsidP="004248A8">
      <w:pPr>
        <w:spacing w:after="0" w:line="240" w:lineRule="auto"/>
        <w:rPr>
          <w:rFonts w:ascii="Verdana" w:eastAsia="Times New Roman" w:hAnsi="Verdana" w:cs="Calibri"/>
          <w:sz w:val="20"/>
          <w:szCs w:val="20"/>
          <w:lang w:eastAsia="en-GB"/>
        </w:rPr>
      </w:pPr>
    </w:p>
    <w:p w14:paraId="36732ABD"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Decisions about programme suspension and withdrawal are made on a case by case basis, taking into consideration implication of Competition and Markets Authority (CMA) guidance. </w:t>
      </w:r>
    </w:p>
    <w:p w14:paraId="7B3B73E4" w14:textId="77777777" w:rsidR="004248A8" w:rsidRPr="004248A8" w:rsidRDefault="004248A8" w:rsidP="004248A8">
      <w:pPr>
        <w:spacing w:after="0" w:line="240" w:lineRule="auto"/>
        <w:jc w:val="both"/>
        <w:rPr>
          <w:rFonts w:ascii="Verdana" w:eastAsia="Times New Roman" w:hAnsi="Verdana" w:cs="Arial"/>
          <w:sz w:val="20"/>
          <w:szCs w:val="20"/>
          <w:lang w:eastAsia="en-GB"/>
        </w:rPr>
      </w:pPr>
    </w:p>
    <w:p w14:paraId="32D9ECDD" w14:textId="77777777" w:rsidR="004248A8" w:rsidRPr="004248A8" w:rsidRDefault="004248A8" w:rsidP="004248A8">
      <w:pPr>
        <w:spacing w:after="0" w:line="240" w:lineRule="auto"/>
        <w:jc w:val="both"/>
        <w:rPr>
          <w:rFonts w:ascii="Verdana" w:eastAsia="Times New Roman" w:hAnsi="Verdana" w:cs="Arial"/>
          <w:sz w:val="20"/>
          <w:szCs w:val="20"/>
          <w:lang w:eastAsia="en-GB"/>
        </w:rPr>
      </w:pPr>
      <w:r w:rsidRPr="004248A8">
        <w:rPr>
          <w:rFonts w:ascii="Verdana" w:eastAsia="Times New Roman" w:hAnsi="Verdana" w:cs="Arial"/>
          <w:sz w:val="20"/>
          <w:szCs w:val="20"/>
          <w:lang w:eastAsia="en-GB"/>
        </w:rPr>
        <w:t xml:space="preserve">Where a programme is withdrawn, the University will either, ensure that standards and learning experience are maintained until all students have completed the programme, or that students are enabled to transfer to a suitable alternative programme at the University or elsewhere. </w:t>
      </w:r>
    </w:p>
    <w:p w14:paraId="6D6097A6" w14:textId="77777777" w:rsidR="004248A8" w:rsidRPr="004248A8" w:rsidRDefault="004248A8" w:rsidP="004248A8">
      <w:pPr>
        <w:spacing w:after="0" w:line="240" w:lineRule="auto"/>
        <w:rPr>
          <w:rFonts w:ascii="Verdana" w:eastAsia="Times New Roman" w:hAnsi="Verdana" w:cs="Calibri"/>
          <w:sz w:val="20"/>
          <w:szCs w:val="20"/>
          <w:lang w:eastAsia="en-GB"/>
        </w:rPr>
      </w:pPr>
    </w:p>
    <w:p w14:paraId="2DA6B271" w14:textId="77777777" w:rsidR="004248A8" w:rsidRPr="004248A8" w:rsidRDefault="004248A8" w:rsidP="004248A8">
      <w:pPr>
        <w:spacing w:after="0" w:line="240" w:lineRule="auto"/>
        <w:rPr>
          <w:rFonts w:ascii="Verdana" w:eastAsia="Times New Roman" w:hAnsi="Verdana" w:cs="Arial"/>
          <w:sz w:val="20"/>
          <w:szCs w:val="20"/>
          <w:lang w:eastAsia="en-GB"/>
        </w:rPr>
      </w:pPr>
      <w:r w:rsidRPr="004248A8">
        <w:rPr>
          <w:rFonts w:ascii="Verdana" w:eastAsia="Times New Roman" w:hAnsi="Verdana" w:cs="Calibri"/>
          <w:sz w:val="20"/>
          <w:szCs w:val="20"/>
          <w:lang w:eastAsia="en-GB"/>
        </w:rPr>
        <w:t xml:space="preserve">The Head of Department is responsible for the ongoing monitoring and oversight of the agreed Programme Withdrawal action plan.   This will include regular reports to the Deputy Vice Chancellor’s Academic Leadership Group, until all students have completed the withdrawn programme. </w:t>
      </w:r>
    </w:p>
    <w:p w14:paraId="6F186BB2" w14:textId="77777777" w:rsidR="004248A8" w:rsidRPr="004248A8" w:rsidRDefault="004248A8" w:rsidP="004248A8">
      <w:pPr>
        <w:spacing w:after="0" w:line="240" w:lineRule="auto"/>
        <w:rPr>
          <w:rFonts w:ascii="Verdana" w:eastAsia="Times New Roman" w:hAnsi="Verdana" w:cs="Calibri"/>
          <w:sz w:val="20"/>
          <w:szCs w:val="20"/>
          <w:lang w:eastAsia="en-GB"/>
        </w:rPr>
      </w:pPr>
    </w:p>
    <w:p w14:paraId="16E872EB"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Programmes that are not withdrawn may remain dormant for an admissions cycle, allowing for potential recruitment in future admissions cycles.</w:t>
      </w:r>
    </w:p>
    <w:p w14:paraId="6E8D6088"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 </w:t>
      </w:r>
    </w:p>
    <w:p w14:paraId="40BD4654" w14:textId="77777777" w:rsidR="004248A8" w:rsidRPr="004248A8" w:rsidRDefault="004248A8" w:rsidP="004248A8">
      <w:pPr>
        <w:spacing w:after="0" w:line="240" w:lineRule="auto"/>
        <w:rPr>
          <w:rFonts w:ascii="Verdana" w:eastAsia="Times New Roman" w:hAnsi="Verdana" w:cs="Calibri"/>
          <w:b/>
          <w:sz w:val="20"/>
          <w:szCs w:val="20"/>
          <w:lang w:eastAsia="en-GB"/>
        </w:rPr>
      </w:pPr>
      <w:r w:rsidRPr="004248A8">
        <w:rPr>
          <w:rFonts w:ascii="Verdana" w:eastAsia="Times New Roman" w:hAnsi="Verdana" w:cs="Calibri"/>
          <w:b/>
          <w:sz w:val="20"/>
          <w:szCs w:val="20"/>
          <w:lang w:eastAsia="en-GB"/>
        </w:rPr>
        <w:t>C</w:t>
      </w:r>
      <w:r w:rsidRPr="004248A8">
        <w:rPr>
          <w:rFonts w:ascii="Verdana" w:eastAsia="Times New Roman" w:hAnsi="Verdana"/>
          <w:b/>
          <w:sz w:val="20"/>
          <w:szCs w:val="20"/>
          <w:lang w:eastAsia="en-GB"/>
        </w:rPr>
        <w:t>ollaborative Provision</w:t>
      </w:r>
    </w:p>
    <w:p w14:paraId="383FE759" w14:textId="77777777" w:rsidR="004248A8" w:rsidRPr="004248A8" w:rsidRDefault="004248A8" w:rsidP="004248A8">
      <w:pPr>
        <w:spacing w:after="0" w:line="240" w:lineRule="auto"/>
        <w:rPr>
          <w:rFonts w:ascii="Verdana" w:eastAsia="Times New Roman" w:hAnsi="Verdana" w:cs="Calibri"/>
          <w:sz w:val="20"/>
          <w:szCs w:val="20"/>
          <w:lang w:eastAsia="en-GB"/>
        </w:rPr>
      </w:pPr>
    </w:p>
    <w:p w14:paraId="069B0B37" w14:textId="77777777" w:rsidR="004248A8" w:rsidRPr="004248A8" w:rsidRDefault="004248A8" w:rsidP="004248A8">
      <w:pPr>
        <w:spacing w:after="0" w:line="240" w:lineRule="auto"/>
        <w:rPr>
          <w:rFonts w:ascii="Verdana" w:eastAsia="Times New Roman" w:hAnsi="Verdana"/>
          <w:sz w:val="20"/>
          <w:szCs w:val="20"/>
          <w:lang w:eastAsia="en-GB"/>
        </w:rPr>
      </w:pPr>
      <w:r w:rsidRPr="004248A8">
        <w:rPr>
          <w:rFonts w:ascii="Verdana" w:eastAsia="Times New Roman" w:hAnsi="Verdana" w:cs="Calibri"/>
          <w:sz w:val="20"/>
          <w:szCs w:val="20"/>
          <w:lang w:eastAsia="en-GB"/>
        </w:rPr>
        <w:t>Proposals for the withdrawal of c</w:t>
      </w:r>
      <w:r w:rsidRPr="004248A8">
        <w:rPr>
          <w:rFonts w:ascii="Verdana" w:eastAsia="Times New Roman" w:hAnsi="Verdana"/>
          <w:sz w:val="20"/>
          <w:szCs w:val="20"/>
          <w:lang w:eastAsia="en-GB"/>
        </w:rPr>
        <w:t>ollaborative provision activity should also follow these procedures.   Programme Withdrawal may be initiated either by the University of Cumbria or by the partner.  The partner will be required to contribute to consultation procedures as appropriate.</w:t>
      </w:r>
    </w:p>
    <w:p w14:paraId="0509F435" w14:textId="77777777" w:rsidR="004248A8" w:rsidRPr="004248A8" w:rsidRDefault="004248A8" w:rsidP="004248A8">
      <w:pPr>
        <w:spacing w:after="0" w:line="240" w:lineRule="auto"/>
        <w:rPr>
          <w:rFonts w:ascii="Verdana" w:eastAsia="Times New Roman" w:hAnsi="Verdana" w:cs="Calibri"/>
          <w:b/>
          <w:sz w:val="20"/>
          <w:szCs w:val="20"/>
          <w:lang w:eastAsia="en-GB"/>
        </w:rPr>
      </w:pPr>
    </w:p>
    <w:p w14:paraId="69EA43B5" w14:textId="77777777" w:rsidR="004248A8" w:rsidRPr="004248A8" w:rsidRDefault="004248A8" w:rsidP="004248A8">
      <w:pPr>
        <w:spacing w:after="0" w:line="240" w:lineRule="auto"/>
        <w:rPr>
          <w:rFonts w:ascii="Verdana" w:eastAsia="Times New Roman" w:hAnsi="Verdana" w:cs="Calibri"/>
          <w:b/>
          <w:sz w:val="20"/>
          <w:szCs w:val="20"/>
          <w:lang w:eastAsia="en-GB"/>
        </w:rPr>
      </w:pPr>
      <w:r w:rsidRPr="004248A8">
        <w:rPr>
          <w:rFonts w:ascii="Verdana" w:eastAsia="Times New Roman" w:hAnsi="Verdana" w:cs="Calibri"/>
          <w:b/>
          <w:sz w:val="20"/>
          <w:szCs w:val="20"/>
          <w:lang w:eastAsia="en-GB"/>
        </w:rPr>
        <w:t>Revalidation</w:t>
      </w:r>
    </w:p>
    <w:p w14:paraId="5B346845" w14:textId="77777777" w:rsidR="004248A8" w:rsidRPr="004248A8" w:rsidRDefault="004248A8" w:rsidP="004248A8">
      <w:pPr>
        <w:spacing w:after="0" w:line="240" w:lineRule="auto"/>
        <w:rPr>
          <w:rFonts w:ascii="Verdana" w:eastAsia="Times New Roman" w:hAnsi="Verdana" w:cs="Calibri"/>
          <w:sz w:val="20"/>
          <w:szCs w:val="20"/>
          <w:lang w:eastAsia="en-GB"/>
        </w:rPr>
      </w:pPr>
    </w:p>
    <w:p w14:paraId="04910007"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The withdrawal of programmes replaced through revalidation is managed through Programme Initiation procedures.  </w:t>
      </w:r>
    </w:p>
    <w:p w14:paraId="49BAC1AB" w14:textId="77777777" w:rsidR="004248A8" w:rsidRPr="004248A8" w:rsidRDefault="004248A8" w:rsidP="004248A8">
      <w:pPr>
        <w:spacing w:after="0" w:line="240" w:lineRule="auto"/>
        <w:rPr>
          <w:rFonts w:ascii="Verdana" w:eastAsia="Times New Roman" w:hAnsi="Verdana"/>
          <w:sz w:val="20"/>
          <w:szCs w:val="20"/>
          <w:lang w:eastAsia="en-GB"/>
        </w:rPr>
      </w:pPr>
    </w:p>
    <w:p w14:paraId="1CA48EA5" w14:textId="77777777" w:rsidR="004248A8" w:rsidRPr="004248A8" w:rsidRDefault="004248A8" w:rsidP="004248A8">
      <w:pPr>
        <w:spacing w:after="0" w:line="240" w:lineRule="auto"/>
        <w:rPr>
          <w:rFonts w:ascii="Verdana" w:eastAsia="Times New Roman" w:hAnsi="Verdana"/>
          <w:b/>
          <w:sz w:val="20"/>
          <w:szCs w:val="20"/>
          <w:lang w:eastAsia="en-GB"/>
        </w:rPr>
      </w:pPr>
      <w:r w:rsidRPr="004248A8">
        <w:rPr>
          <w:rFonts w:ascii="Verdana" w:eastAsia="Times New Roman" w:hAnsi="Verdana"/>
          <w:b/>
          <w:sz w:val="20"/>
          <w:szCs w:val="20"/>
          <w:lang w:eastAsia="en-GB"/>
        </w:rPr>
        <w:t>Re-approval</w:t>
      </w:r>
    </w:p>
    <w:p w14:paraId="70011B64" w14:textId="77777777" w:rsidR="004248A8" w:rsidRPr="004248A8" w:rsidRDefault="004248A8" w:rsidP="004248A8">
      <w:pPr>
        <w:spacing w:after="0" w:line="240" w:lineRule="auto"/>
        <w:rPr>
          <w:rFonts w:ascii="Verdana" w:eastAsia="Times New Roman" w:hAnsi="Verdana"/>
          <w:sz w:val="20"/>
          <w:szCs w:val="20"/>
          <w:lang w:eastAsia="en-GB"/>
        </w:rPr>
      </w:pPr>
    </w:p>
    <w:p w14:paraId="7584C828"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Re-approval through periodic review does not require any withdrawal activity (the programme continues).  Periodic review procedures consider the arrangements for continuing students, in line with the University’s Academic Design Principles.  </w:t>
      </w:r>
    </w:p>
    <w:p w14:paraId="01FF980D" w14:textId="77777777" w:rsidR="004248A8" w:rsidRPr="004248A8" w:rsidRDefault="004248A8" w:rsidP="004248A8">
      <w:pPr>
        <w:spacing w:after="0" w:line="240" w:lineRule="auto"/>
        <w:rPr>
          <w:rFonts w:ascii="Verdana" w:eastAsia="Times New Roman" w:hAnsi="Verdana" w:cs="Calibri"/>
          <w:sz w:val="20"/>
          <w:szCs w:val="20"/>
          <w:lang w:eastAsia="en-GB"/>
        </w:rPr>
      </w:pPr>
    </w:p>
    <w:p w14:paraId="4578E564" w14:textId="77777777" w:rsidR="004248A8" w:rsidRPr="004248A8" w:rsidRDefault="004248A8" w:rsidP="004248A8">
      <w:pPr>
        <w:numPr>
          <w:ilvl w:val="0"/>
          <w:numId w:val="27"/>
        </w:numPr>
        <w:spacing w:after="0" w:line="240" w:lineRule="auto"/>
        <w:rPr>
          <w:rFonts w:ascii="Verdana" w:hAnsi="Verdana" w:cs="Calibri"/>
          <w:sz w:val="20"/>
          <w:szCs w:val="20"/>
        </w:rPr>
      </w:pPr>
      <w:r w:rsidRPr="004248A8">
        <w:rPr>
          <w:rFonts w:ascii="Verdana" w:eastAsia="Times New Roman" w:hAnsi="Verdana" w:cs="Calibri"/>
          <w:b/>
          <w:sz w:val="20"/>
          <w:szCs w:val="20"/>
          <w:lang w:eastAsia="en-GB"/>
        </w:rPr>
        <w:t>Programme S</w:t>
      </w:r>
      <w:r w:rsidRPr="004248A8">
        <w:rPr>
          <w:rFonts w:ascii="Verdana" w:hAnsi="Verdana" w:cs="Calibri"/>
          <w:b/>
          <w:sz w:val="20"/>
          <w:szCs w:val="20"/>
        </w:rPr>
        <w:t xml:space="preserve">uspension </w:t>
      </w:r>
    </w:p>
    <w:p w14:paraId="4A050FC9" w14:textId="77777777" w:rsidR="004248A8" w:rsidRPr="004248A8" w:rsidRDefault="004248A8" w:rsidP="004248A8">
      <w:pPr>
        <w:spacing w:after="0" w:line="240" w:lineRule="auto"/>
        <w:rPr>
          <w:rFonts w:ascii="Verdana" w:hAnsi="Verdana" w:cs="Calibri"/>
          <w:sz w:val="20"/>
          <w:szCs w:val="20"/>
        </w:rPr>
      </w:pPr>
    </w:p>
    <w:p w14:paraId="3F3B766C"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There may be circumstances in which the University wishes to suspend recruitment to a programme during an admissions cycle.  </w:t>
      </w:r>
    </w:p>
    <w:p w14:paraId="673AF65B" w14:textId="77777777" w:rsidR="004248A8" w:rsidRPr="004248A8" w:rsidRDefault="004248A8" w:rsidP="004248A8">
      <w:pPr>
        <w:spacing w:after="0" w:line="240" w:lineRule="auto"/>
        <w:rPr>
          <w:rFonts w:ascii="Verdana" w:eastAsia="Times New Roman" w:hAnsi="Verdana" w:cs="Calibri"/>
          <w:sz w:val="20"/>
          <w:szCs w:val="20"/>
          <w:lang w:eastAsia="en-GB"/>
        </w:rPr>
      </w:pPr>
    </w:p>
    <w:p w14:paraId="5C09FB31"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When considering requests for suspension, the interests of applicants will be a significant consideration. In recognition of consumer law and in the interests of applicants, suspension will be avoided where possible where offers have been made to applicants. </w:t>
      </w:r>
    </w:p>
    <w:p w14:paraId="05F6637E" w14:textId="77777777" w:rsidR="004248A8" w:rsidRPr="004248A8" w:rsidRDefault="004248A8" w:rsidP="004248A8">
      <w:pPr>
        <w:spacing w:after="0" w:line="240" w:lineRule="auto"/>
        <w:rPr>
          <w:rFonts w:ascii="Verdana" w:eastAsia="Times New Roman" w:hAnsi="Verdana" w:cs="Calibri"/>
          <w:sz w:val="20"/>
          <w:szCs w:val="20"/>
          <w:lang w:eastAsia="en-GB"/>
        </w:rPr>
      </w:pPr>
    </w:p>
    <w:p w14:paraId="58538056" w14:textId="77777777" w:rsidR="004248A8" w:rsidRPr="004248A8" w:rsidRDefault="004248A8" w:rsidP="004248A8">
      <w:pPr>
        <w:spacing w:after="0" w:line="240" w:lineRule="auto"/>
        <w:rPr>
          <w:rFonts w:ascii="Verdana" w:hAnsi="Verdana" w:cs="Calibri"/>
          <w:sz w:val="20"/>
          <w:szCs w:val="20"/>
        </w:rPr>
      </w:pPr>
      <w:r w:rsidRPr="004248A8">
        <w:rPr>
          <w:rFonts w:ascii="Verdana" w:eastAsia="Times New Roman" w:hAnsi="Verdana" w:cs="Arial"/>
          <w:sz w:val="20"/>
          <w:szCs w:val="20"/>
          <w:lang w:eastAsia="en-GB"/>
        </w:rPr>
        <w:t>Where a programme is suspended, the University will ensure that plans are in place to safeguard the learning experience of any current students.</w:t>
      </w:r>
    </w:p>
    <w:p w14:paraId="166F397D" w14:textId="77777777" w:rsidR="004248A8" w:rsidRPr="004248A8" w:rsidRDefault="004248A8" w:rsidP="004248A8">
      <w:pPr>
        <w:spacing w:after="0" w:line="240" w:lineRule="auto"/>
        <w:rPr>
          <w:rFonts w:ascii="Verdana" w:hAnsi="Verdana" w:cs="Calibri"/>
          <w:sz w:val="20"/>
          <w:szCs w:val="20"/>
        </w:rPr>
      </w:pPr>
    </w:p>
    <w:p w14:paraId="6411CB47" w14:textId="383626FA"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hAnsi="Verdana" w:cs="Calibri"/>
          <w:sz w:val="20"/>
          <w:szCs w:val="20"/>
        </w:rPr>
        <w:t xml:space="preserve">The </w:t>
      </w:r>
      <w:r w:rsidR="006470E9">
        <w:rPr>
          <w:rFonts w:ascii="Verdana" w:hAnsi="Verdana" w:cs="Calibri"/>
          <w:sz w:val="20"/>
          <w:szCs w:val="20"/>
        </w:rPr>
        <w:t xml:space="preserve">Chair of ASPC </w:t>
      </w:r>
      <w:r w:rsidRPr="004248A8">
        <w:rPr>
          <w:rFonts w:ascii="Verdana" w:hAnsi="Verdana" w:cs="Calibri"/>
          <w:sz w:val="20"/>
          <w:szCs w:val="20"/>
        </w:rPr>
        <w:t xml:space="preserve">will consider requests for programme suspension through completion of </w:t>
      </w:r>
      <w:r w:rsidRPr="004248A8">
        <w:rPr>
          <w:rFonts w:ascii="Verdana" w:eastAsia="Times New Roman" w:hAnsi="Verdana" w:cs="Calibri"/>
          <w:sz w:val="20"/>
          <w:szCs w:val="20"/>
          <w:lang w:eastAsia="en-GB"/>
        </w:rPr>
        <w:t xml:space="preserve">the suspension template. </w:t>
      </w:r>
    </w:p>
    <w:p w14:paraId="19B03E22" w14:textId="77777777" w:rsidR="004248A8" w:rsidRPr="004248A8" w:rsidRDefault="004248A8" w:rsidP="004248A8">
      <w:pPr>
        <w:spacing w:after="0" w:line="240" w:lineRule="auto"/>
        <w:rPr>
          <w:rFonts w:ascii="Verdana" w:eastAsia="Times New Roman" w:hAnsi="Verdana" w:cs="Calibri"/>
          <w:sz w:val="20"/>
          <w:szCs w:val="20"/>
          <w:lang w:eastAsia="en-GB"/>
        </w:rPr>
      </w:pPr>
    </w:p>
    <w:p w14:paraId="194C61F1" w14:textId="77777777" w:rsidR="004248A8" w:rsidRPr="004248A8" w:rsidRDefault="004248A8" w:rsidP="004248A8">
      <w:pPr>
        <w:spacing w:after="0" w:line="240" w:lineRule="auto"/>
        <w:rPr>
          <w:rFonts w:ascii="Verdana" w:eastAsia="Times New Roman" w:hAnsi="Verdana" w:cs="Calibri"/>
          <w:sz w:val="20"/>
          <w:szCs w:val="20"/>
          <w:lang w:eastAsia="en-GB"/>
        </w:rPr>
      </w:pPr>
    </w:p>
    <w:p w14:paraId="225607E2" w14:textId="77777777" w:rsidR="004248A8" w:rsidRPr="004248A8" w:rsidRDefault="004248A8" w:rsidP="004248A8">
      <w:pPr>
        <w:spacing w:after="0" w:line="240" w:lineRule="auto"/>
        <w:rPr>
          <w:rFonts w:ascii="Verdana" w:eastAsia="Times New Roman" w:hAnsi="Verdana" w:cs="Calibri"/>
          <w:sz w:val="20"/>
          <w:szCs w:val="20"/>
          <w:lang w:eastAsia="en-GB"/>
        </w:rPr>
      </w:pPr>
    </w:p>
    <w:p w14:paraId="59793ED1" w14:textId="77777777" w:rsidR="004248A8" w:rsidRPr="004248A8" w:rsidRDefault="004248A8" w:rsidP="004248A8">
      <w:pPr>
        <w:spacing w:after="0" w:line="240" w:lineRule="auto"/>
        <w:ind w:left="709" w:hanging="709"/>
        <w:rPr>
          <w:rFonts w:ascii="Verdana" w:eastAsia="Times New Roman" w:hAnsi="Verdana" w:cs="Calibri"/>
          <w:sz w:val="20"/>
          <w:szCs w:val="20"/>
          <w:lang w:eastAsia="en-GB"/>
        </w:rPr>
      </w:pPr>
    </w:p>
    <w:p w14:paraId="1B6BD057" w14:textId="77777777" w:rsidR="004248A8" w:rsidRPr="004248A8" w:rsidRDefault="004248A8" w:rsidP="004248A8">
      <w:pPr>
        <w:spacing w:after="0" w:line="240" w:lineRule="auto"/>
        <w:rPr>
          <w:rFonts w:ascii="Verdana" w:eastAsia="Times New Roman" w:hAnsi="Verdana" w:cs="Calibri"/>
          <w:b/>
          <w:sz w:val="20"/>
          <w:szCs w:val="20"/>
          <w:lang w:eastAsia="en-GB"/>
        </w:rPr>
      </w:pPr>
      <w:r w:rsidRPr="004248A8">
        <w:rPr>
          <w:rFonts w:ascii="Verdana" w:eastAsia="Times New Roman" w:hAnsi="Verdana" w:cs="Calibri"/>
          <w:b/>
          <w:sz w:val="20"/>
          <w:szCs w:val="20"/>
          <w:lang w:eastAsia="en-GB"/>
        </w:rPr>
        <w:br w:type="page"/>
      </w:r>
      <w:r w:rsidRPr="004248A8">
        <w:rPr>
          <w:rFonts w:ascii="Verdana" w:eastAsia="Times New Roman" w:hAnsi="Verdana" w:cs="Calibri"/>
          <w:b/>
          <w:sz w:val="20"/>
          <w:szCs w:val="20"/>
          <w:lang w:eastAsia="en-GB"/>
        </w:rPr>
        <w:lastRenderedPageBreak/>
        <w:t>Roles and responsibilities</w:t>
      </w:r>
    </w:p>
    <w:p w14:paraId="1224491D" w14:textId="77777777" w:rsidR="004248A8" w:rsidRPr="004248A8" w:rsidRDefault="004248A8" w:rsidP="004248A8">
      <w:pPr>
        <w:spacing w:after="0" w:line="240" w:lineRule="auto"/>
        <w:rPr>
          <w:rFonts w:ascii="Verdana" w:eastAsia="Times New Roman" w:hAnsi="Verdana" w:cs="Calibri"/>
          <w:sz w:val="20"/>
          <w:szCs w:val="20"/>
          <w:lang w:eastAsia="en-GB"/>
        </w:rPr>
      </w:pPr>
    </w:p>
    <w:p w14:paraId="15159728"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b/>
          <w:sz w:val="20"/>
          <w:szCs w:val="20"/>
          <w:lang w:eastAsia="en-GB"/>
        </w:rPr>
        <w:t xml:space="preserve">The Proposer </w:t>
      </w:r>
      <w:r w:rsidRPr="004248A8">
        <w:rPr>
          <w:rFonts w:ascii="Verdana" w:eastAsia="Times New Roman" w:hAnsi="Verdana" w:cs="Calibri"/>
          <w:sz w:val="20"/>
          <w:szCs w:val="20"/>
          <w:lang w:eastAsia="en-GB"/>
        </w:rPr>
        <w:t>is responsible for:</w:t>
      </w:r>
    </w:p>
    <w:p w14:paraId="7854A727" w14:textId="77777777" w:rsidR="004248A8" w:rsidRPr="004248A8" w:rsidRDefault="004248A8" w:rsidP="004248A8">
      <w:pPr>
        <w:spacing w:after="0" w:line="240" w:lineRule="auto"/>
        <w:rPr>
          <w:rFonts w:ascii="Verdana" w:eastAsia="Times New Roman" w:hAnsi="Verdana" w:cs="Calibri"/>
          <w:sz w:val="20"/>
          <w:szCs w:val="20"/>
          <w:lang w:eastAsia="en-GB"/>
        </w:rPr>
      </w:pPr>
    </w:p>
    <w:p w14:paraId="629D8A43"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Liaising with their Head of Department to discuss proposals prior to submission. </w:t>
      </w:r>
    </w:p>
    <w:p w14:paraId="50CE195C"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Completing the paperwork. </w:t>
      </w:r>
    </w:p>
    <w:p w14:paraId="0DAFC347"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Completing required information in consultation with University Services.</w:t>
      </w:r>
    </w:p>
    <w:p w14:paraId="2AE34101"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Working with the Collaborative Provision team as required. </w:t>
      </w:r>
    </w:p>
    <w:p w14:paraId="6B417E68" w14:textId="77777777" w:rsidR="004248A8" w:rsidRPr="004248A8" w:rsidRDefault="004248A8" w:rsidP="004248A8">
      <w:pPr>
        <w:spacing w:after="0" w:line="240" w:lineRule="auto"/>
        <w:rPr>
          <w:rFonts w:ascii="Verdana" w:eastAsia="Times New Roman" w:hAnsi="Verdana" w:cs="Calibri"/>
          <w:b/>
          <w:sz w:val="20"/>
          <w:szCs w:val="20"/>
          <w:lang w:eastAsia="en-GB"/>
        </w:rPr>
      </w:pPr>
    </w:p>
    <w:p w14:paraId="4A9B3AB7" w14:textId="77777777" w:rsidR="004248A8" w:rsidRPr="004248A8" w:rsidRDefault="004248A8" w:rsidP="004248A8">
      <w:pPr>
        <w:spacing w:after="0" w:line="240" w:lineRule="auto"/>
        <w:rPr>
          <w:rFonts w:ascii="Verdana" w:eastAsia="Times New Roman" w:hAnsi="Verdana" w:cs="Calibri"/>
          <w:b/>
          <w:sz w:val="20"/>
          <w:szCs w:val="20"/>
          <w:lang w:eastAsia="en-GB"/>
        </w:rPr>
      </w:pPr>
    </w:p>
    <w:p w14:paraId="40285DB7"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b/>
          <w:sz w:val="20"/>
          <w:szCs w:val="20"/>
          <w:lang w:eastAsia="en-GB"/>
        </w:rPr>
        <w:t>Heads of Department</w:t>
      </w:r>
      <w:r w:rsidRPr="004248A8">
        <w:rPr>
          <w:rFonts w:ascii="Verdana" w:eastAsia="Times New Roman" w:hAnsi="Verdana" w:cs="Calibri"/>
          <w:sz w:val="20"/>
          <w:szCs w:val="20"/>
          <w:lang w:eastAsia="en-GB"/>
        </w:rPr>
        <w:t xml:space="preserve"> are responsible for:</w:t>
      </w:r>
    </w:p>
    <w:p w14:paraId="67A00A26" w14:textId="77777777" w:rsidR="004248A8" w:rsidRPr="004248A8" w:rsidRDefault="004248A8" w:rsidP="004248A8">
      <w:pPr>
        <w:spacing w:after="0" w:line="240" w:lineRule="auto"/>
        <w:rPr>
          <w:rFonts w:ascii="Verdana" w:eastAsia="Times New Roman" w:hAnsi="Verdana" w:cs="Calibri"/>
          <w:sz w:val="20"/>
          <w:szCs w:val="20"/>
          <w:lang w:eastAsia="en-GB"/>
        </w:rPr>
      </w:pPr>
    </w:p>
    <w:p w14:paraId="01B23763"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Overseeing proposals within their Department.</w:t>
      </w:r>
    </w:p>
    <w:p w14:paraId="2D0393CD"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Ensuring proposals align to business plans and institutional priorities. </w:t>
      </w:r>
    </w:p>
    <w:p w14:paraId="7D49FA36"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Ensuring effective engagement with the procedures, including completion of all necessary paperwork.</w:t>
      </w:r>
    </w:p>
    <w:p w14:paraId="1A10D930"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Making recommendations to the DVC.</w:t>
      </w:r>
    </w:p>
    <w:p w14:paraId="1368CBC0"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Overseeing the implementation and monitoring of programme withdrawal action plans. </w:t>
      </w:r>
    </w:p>
    <w:p w14:paraId="365D38E7"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Communicating outcomes to current students.</w:t>
      </w:r>
    </w:p>
    <w:p w14:paraId="315CB994" w14:textId="77777777" w:rsidR="004248A8" w:rsidRPr="004248A8" w:rsidRDefault="004248A8" w:rsidP="004248A8">
      <w:pPr>
        <w:spacing w:after="0" w:line="240" w:lineRule="auto"/>
        <w:rPr>
          <w:rFonts w:ascii="Verdana" w:eastAsia="Times New Roman" w:hAnsi="Verdana" w:cs="Calibri"/>
          <w:b/>
          <w:sz w:val="20"/>
          <w:szCs w:val="20"/>
          <w:lang w:eastAsia="en-GB"/>
        </w:rPr>
      </w:pPr>
    </w:p>
    <w:p w14:paraId="4D483D6E"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b/>
          <w:sz w:val="20"/>
          <w:szCs w:val="20"/>
          <w:lang w:eastAsia="en-GB"/>
        </w:rPr>
        <w:t xml:space="preserve">Finance and Resources are </w:t>
      </w:r>
      <w:r w:rsidRPr="004248A8">
        <w:rPr>
          <w:rFonts w:ascii="Verdana" w:eastAsia="Times New Roman" w:hAnsi="Verdana" w:cs="Calibri"/>
          <w:sz w:val="20"/>
          <w:szCs w:val="20"/>
          <w:lang w:eastAsia="en-GB"/>
        </w:rPr>
        <w:t>responsible for:</w:t>
      </w:r>
    </w:p>
    <w:p w14:paraId="6769768E" w14:textId="77777777" w:rsidR="004248A8" w:rsidRPr="004248A8" w:rsidRDefault="004248A8" w:rsidP="004248A8">
      <w:pPr>
        <w:spacing w:after="0" w:line="240" w:lineRule="auto"/>
        <w:rPr>
          <w:rFonts w:ascii="Verdana" w:eastAsia="Times New Roman" w:hAnsi="Verdana" w:cs="Calibri"/>
          <w:b/>
          <w:sz w:val="20"/>
          <w:szCs w:val="20"/>
          <w:lang w:eastAsia="en-GB"/>
        </w:rPr>
      </w:pPr>
    </w:p>
    <w:p w14:paraId="53F61E5F"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Identifying programmes at risk of withdrawal. </w:t>
      </w:r>
    </w:p>
    <w:p w14:paraId="23F7F4DC"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Maintaining a record of all proposals and their status.</w:t>
      </w:r>
    </w:p>
    <w:p w14:paraId="7A79674C"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Ensuring compliance with timelines and procedures. </w:t>
      </w:r>
    </w:p>
    <w:p w14:paraId="1E7CC479"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Internal communication of outcomes. </w:t>
      </w:r>
    </w:p>
    <w:p w14:paraId="338A2528"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Ensuring alignment of programme withdrawals with general portfolio management.</w:t>
      </w:r>
    </w:p>
    <w:p w14:paraId="55C04925"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Providing an annual report to Academic Strategy and Planning Committee.</w:t>
      </w:r>
    </w:p>
    <w:p w14:paraId="4CC2F392"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Reporting to Collaborative Provision Sub Committee on withdrawal of collaborative provision.</w:t>
      </w:r>
    </w:p>
    <w:p w14:paraId="6E070DCA" w14:textId="77777777" w:rsidR="004248A8" w:rsidRPr="004248A8" w:rsidRDefault="004248A8" w:rsidP="004248A8">
      <w:pPr>
        <w:spacing w:after="0" w:line="240" w:lineRule="auto"/>
        <w:rPr>
          <w:rFonts w:ascii="Verdana" w:eastAsia="Times New Roman" w:hAnsi="Verdana" w:cs="Calibri"/>
          <w:sz w:val="20"/>
          <w:szCs w:val="20"/>
          <w:lang w:eastAsia="en-GB"/>
        </w:rPr>
      </w:pPr>
    </w:p>
    <w:p w14:paraId="1FA8F1DA"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b/>
          <w:sz w:val="20"/>
          <w:szCs w:val="20"/>
          <w:lang w:eastAsia="en-GB"/>
        </w:rPr>
        <w:t>The Director of Academic Quality and Development</w:t>
      </w:r>
      <w:r w:rsidRPr="004248A8">
        <w:rPr>
          <w:rFonts w:ascii="Verdana" w:eastAsia="Times New Roman" w:hAnsi="Verdana" w:cs="Calibri"/>
          <w:sz w:val="20"/>
          <w:szCs w:val="20"/>
          <w:lang w:eastAsia="en-GB"/>
        </w:rPr>
        <w:t xml:space="preserve"> is responsible for:</w:t>
      </w:r>
    </w:p>
    <w:p w14:paraId="2F52E83A" w14:textId="77777777" w:rsidR="004248A8" w:rsidRPr="004248A8" w:rsidRDefault="004248A8" w:rsidP="004248A8">
      <w:pPr>
        <w:spacing w:after="0" w:line="240" w:lineRule="auto"/>
        <w:rPr>
          <w:rFonts w:ascii="Verdana" w:eastAsia="Times New Roman" w:hAnsi="Verdana" w:cs="Calibri"/>
          <w:sz w:val="20"/>
          <w:szCs w:val="20"/>
          <w:lang w:eastAsia="en-GB"/>
        </w:rPr>
      </w:pPr>
    </w:p>
    <w:p w14:paraId="1AA3BD1C"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Making recommendations to the DVC.</w:t>
      </w:r>
    </w:p>
    <w:p w14:paraId="169A8BF4" w14:textId="77777777" w:rsidR="004248A8" w:rsidRPr="004248A8" w:rsidRDefault="004248A8" w:rsidP="004248A8">
      <w:pPr>
        <w:spacing w:after="0" w:line="240" w:lineRule="auto"/>
        <w:rPr>
          <w:rFonts w:ascii="Verdana" w:eastAsia="Times New Roman" w:hAnsi="Verdana" w:cs="Calibri"/>
          <w:b/>
          <w:sz w:val="20"/>
          <w:szCs w:val="20"/>
          <w:lang w:eastAsia="en-GB"/>
        </w:rPr>
      </w:pPr>
    </w:p>
    <w:p w14:paraId="41F7CCA2" w14:textId="1FE3389C"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b/>
          <w:sz w:val="20"/>
          <w:szCs w:val="20"/>
          <w:lang w:eastAsia="en-GB"/>
        </w:rPr>
        <w:t xml:space="preserve">The </w:t>
      </w:r>
      <w:r w:rsidR="006470E9">
        <w:rPr>
          <w:rFonts w:ascii="Verdana" w:eastAsia="Times New Roman" w:hAnsi="Verdana" w:cs="Calibri"/>
          <w:b/>
          <w:sz w:val="20"/>
          <w:szCs w:val="20"/>
          <w:lang w:eastAsia="en-GB"/>
        </w:rPr>
        <w:t xml:space="preserve">Chair of ASPC </w:t>
      </w:r>
      <w:r w:rsidRPr="004248A8">
        <w:rPr>
          <w:rFonts w:ascii="Verdana" w:eastAsia="Times New Roman" w:hAnsi="Verdana" w:cs="Calibri"/>
          <w:sz w:val="20"/>
          <w:szCs w:val="20"/>
          <w:lang w:eastAsia="en-GB"/>
        </w:rPr>
        <w:t>is responsible for:</w:t>
      </w:r>
    </w:p>
    <w:p w14:paraId="5A723725" w14:textId="77777777" w:rsidR="004248A8" w:rsidRPr="004248A8" w:rsidRDefault="004248A8" w:rsidP="004248A8">
      <w:pPr>
        <w:spacing w:after="0" w:line="240" w:lineRule="auto"/>
        <w:rPr>
          <w:rFonts w:ascii="Verdana" w:eastAsia="Times New Roman" w:hAnsi="Verdana" w:cs="Calibri"/>
          <w:b/>
          <w:sz w:val="20"/>
          <w:szCs w:val="20"/>
          <w:lang w:eastAsia="en-GB"/>
        </w:rPr>
      </w:pPr>
    </w:p>
    <w:p w14:paraId="6ABA6D8A"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Agreeing which programmes should be considered through the programme withdrawal/suspension procedures</w:t>
      </w:r>
    </w:p>
    <w:p w14:paraId="0D0944F1"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Approving programme withdrawal </w:t>
      </w:r>
    </w:p>
    <w:p w14:paraId="37A6840E" w14:textId="77777777" w:rsidR="004248A8" w:rsidRPr="004248A8" w:rsidRDefault="004248A8" w:rsidP="004248A8">
      <w:pPr>
        <w:numPr>
          <w:ilvl w:val="0"/>
          <w:numId w:val="20"/>
        </w:numPr>
        <w:spacing w:after="0" w:line="240" w:lineRule="auto"/>
        <w:ind w:left="709"/>
        <w:rPr>
          <w:rFonts w:ascii="Verdana" w:eastAsia="Times New Roman" w:hAnsi="Verdana" w:cs="Calibri"/>
          <w:sz w:val="20"/>
          <w:szCs w:val="20"/>
          <w:lang w:eastAsia="en-GB"/>
        </w:rPr>
      </w:pPr>
      <w:r w:rsidRPr="004248A8">
        <w:rPr>
          <w:rFonts w:ascii="Verdana" w:eastAsia="Times New Roman" w:hAnsi="Verdana" w:cs="Calibri"/>
          <w:sz w:val="20"/>
          <w:szCs w:val="20"/>
          <w:lang w:eastAsia="en-GB"/>
        </w:rPr>
        <w:t xml:space="preserve">Approving suspension of recruitment </w:t>
      </w:r>
    </w:p>
    <w:p w14:paraId="0A24D0E6" w14:textId="77777777" w:rsidR="004248A8" w:rsidRPr="004248A8" w:rsidRDefault="004248A8" w:rsidP="004248A8">
      <w:pPr>
        <w:spacing w:after="0" w:line="240" w:lineRule="auto"/>
        <w:rPr>
          <w:rFonts w:ascii="Verdana" w:eastAsia="Times New Roman" w:hAnsi="Verdana" w:cs="Calibri"/>
          <w:b/>
          <w:sz w:val="20"/>
          <w:szCs w:val="20"/>
          <w:lang w:eastAsia="en-GB"/>
        </w:rPr>
      </w:pPr>
    </w:p>
    <w:p w14:paraId="416EC9CB" w14:textId="77777777" w:rsidR="004248A8" w:rsidRPr="004248A8" w:rsidRDefault="004248A8" w:rsidP="004248A8">
      <w:pPr>
        <w:spacing w:after="0" w:line="240" w:lineRule="auto"/>
        <w:rPr>
          <w:rFonts w:ascii="Verdana" w:eastAsia="Times New Roman" w:hAnsi="Verdana" w:cs="Calibri"/>
          <w:sz w:val="20"/>
          <w:szCs w:val="20"/>
          <w:lang w:eastAsia="en-GB"/>
        </w:rPr>
      </w:pPr>
      <w:r w:rsidRPr="004248A8">
        <w:rPr>
          <w:rFonts w:ascii="Verdana" w:eastAsia="Times New Roman" w:hAnsi="Verdana" w:cs="Calibri"/>
          <w:b/>
          <w:sz w:val="20"/>
          <w:szCs w:val="20"/>
          <w:lang w:eastAsia="en-GB"/>
        </w:rPr>
        <w:t>Collaborative Partners</w:t>
      </w:r>
      <w:r w:rsidRPr="004248A8">
        <w:rPr>
          <w:rFonts w:ascii="Verdana" w:eastAsia="Times New Roman" w:hAnsi="Verdana" w:cs="Calibri"/>
          <w:sz w:val="20"/>
          <w:szCs w:val="20"/>
          <w:lang w:eastAsia="en-GB"/>
        </w:rPr>
        <w:t>, where collaborative provision is affected there may be a requirement for a partner to contribute to the completion of the documentation.</w:t>
      </w:r>
    </w:p>
    <w:p w14:paraId="52403A1A" w14:textId="77777777" w:rsidR="004248A8" w:rsidRPr="004248A8" w:rsidRDefault="004248A8" w:rsidP="004248A8">
      <w:pPr>
        <w:spacing w:after="0" w:line="240" w:lineRule="auto"/>
        <w:ind w:hanging="11"/>
        <w:rPr>
          <w:rFonts w:ascii="Verdana" w:eastAsia="Times New Roman" w:hAnsi="Verdana" w:cs="Calibri"/>
          <w:sz w:val="20"/>
          <w:szCs w:val="20"/>
          <w:lang w:eastAsia="en-GB"/>
        </w:rPr>
      </w:pPr>
    </w:p>
    <w:p w14:paraId="0501CA9F" w14:textId="77777777" w:rsidR="004248A8" w:rsidRPr="004248A8" w:rsidRDefault="004248A8" w:rsidP="004248A8">
      <w:pPr>
        <w:spacing w:after="0" w:line="240" w:lineRule="auto"/>
        <w:rPr>
          <w:rFonts w:ascii="Verdana" w:eastAsia="Times New Roman" w:hAnsi="Verdana" w:cs="Calibri"/>
          <w:sz w:val="20"/>
          <w:szCs w:val="20"/>
          <w:lang w:eastAsia="en-GB"/>
        </w:rPr>
      </w:pPr>
    </w:p>
    <w:p w14:paraId="30C6DAB4" w14:textId="77777777" w:rsidR="004248A8" w:rsidRPr="004248A8" w:rsidRDefault="004248A8" w:rsidP="004248A8">
      <w:pPr>
        <w:spacing w:after="0" w:line="240" w:lineRule="auto"/>
        <w:rPr>
          <w:rFonts w:ascii="Verdana" w:eastAsia="Times New Roman" w:hAnsi="Verdana" w:cs="Calibri"/>
          <w:sz w:val="20"/>
          <w:szCs w:val="20"/>
          <w:lang w:eastAsia="en-GB"/>
        </w:rPr>
      </w:pPr>
    </w:p>
    <w:p w14:paraId="57C0F3EC" w14:textId="77777777" w:rsidR="004248A8" w:rsidRPr="004248A8" w:rsidRDefault="004248A8" w:rsidP="004248A8">
      <w:pPr>
        <w:spacing w:after="0" w:line="240" w:lineRule="auto"/>
        <w:rPr>
          <w:rFonts w:ascii="Verdana" w:eastAsia="Times New Roman" w:hAnsi="Verdana" w:cs="Calibri"/>
          <w:sz w:val="20"/>
          <w:szCs w:val="20"/>
          <w:lang w:eastAsia="en-GB"/>
        </w:rPr>
      </w:pPr>
    </w:p>
    <w:p w14:paraId="205A77FB" w14:textId="77777777" w:rsidR="004248A8" w:rsidRPr="004248A8" w:rsidRDefault="004248A8" w:rsidP="004248A8">
      <w:pPr>
        <w:spacing w:after="0" w:line="240" w:lineRule="auto"/>
        <w:rPr>
          <w:rFonts w:ascii="Verdana" w:eastAsia="Times New Roman" w:hAnsi="Verdana" w:cs="Arial"/>
          <w:sz w:val="20"/>
          <w:szCs w:val="20"/>
          <w:lang w:eastAsia="en-GB"/>
        </w:rPr>
      </w:pPr>
    </w:p>
    <w:p w14:paraId="57065D55" w14:textId="77777777" w:rsidR="00E54488" w:rsidRPr="00453583" w:rsidRDefault="00E54488" w:rsidP="00453583">
      <w:pPr>
        <w:rPr>
          <w:rFonts w:ascii="Verdana" w:hAnsi="Verdana" w:cs="Arial"/>
          <w:sz w:val="20"/>
          <w:szCs w:val="20"/>
        </w:rPr>
      </w:pPr>
    </w:p>
    <w:sectPr w:rsidR="00E54488" w:rsidRPr="004535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C67BC" w14:textId="77777777" w:rsidR="005F6E83" w:rsidRDefault="005F6E83" w:rsidP="004248A8">
      <w:pPr>
        <w:spacing w:after="0" w:line="240" w:lineRule="auto"/>
      </w:pPr>
      <w:r>
        <w:separator/>
      </w:r>
    </w:p>
  </w:endnote>
  <w:endnote w:type="continuationSeparator" w:id="0">
    <w:p w14:paraId="7B2D1702" w14:textId="77777777" w:rsidR="005F6E83" w:rsidRDefault="005F6E83" w:rsidP="0042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C2676" w14:textId="77777777" w:rsidR="005F6E83" w:rsidRDefault="005F6E83" w:rsidP="004248A8">
      <w:pPr>
        <w:spacing w:after="0" w:line="240" w:lineRule="auto"/>
      </w:pPr>
      <w:r>
        <w:separator/>
      </w:r>
    </w:p>
  </w:footnote>
  <w:footnote w:type="continuationSeparator" w:id="0">
    <w:p w14:paraId="704615A2" w14:textId="77777777" w:rsidR="005F6E83" w:rsidRDefault="005F6E83" w:rsidP="004248A8">
      <w:pPr>
        <w:spacing w:after="0" w:line="240" w:lineRule="auto"/>
      </w:pPr>
      <w:r>
        <w:continuationSeparator/>
      </w:r>
    </w:p>
  </w:footnote>
  <w:footnote w:id="1">
    <w:p w14:paraId="49B9AA74" w14:textId="77777777" w:rsidR="004248A8" w:rsidRDefault="004248A8" w:rsidP="004248A8">
      <w:pPr>
        <w:pStyle w:val="FootnoteText"/>
      </w:pPr>
      <w:r>
        <w:rPr>
          <w:rStyle w:val="FootnoteReference"/>
        </w:rPr>
        <w:footnoteRef/>
      </w:r>
      <w:r>
        <w:t xml:space="preserve"> </w:t>
      </w:r>
      <w:hyperlink r:id="rId1" w:history="1">
        <w:r w:rsidRPr="0098620A">
          <w:rPr>
            <w:rStyle w:val="Hyperlink"/>
          </w:rPr>
          <w:t>http://www.hefce.ac.uk/media/HEFCE,2014/Content/Regulation/Student,protection/Statement_good_practice.pdf</w:t>
        </w:r>
      </w:hyperlink>
    </w:p>
    <w:p w14:paraId="72CD0EE9" w14:textId="77777777" w:rsidR="004248A8" w:rsidRDefault="004248A8" w:rsidP="004248A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1AE"/>
    <w:multiLevelType w:val="hybridMultilevel"/>
    <w:tmpl w:val="3690C01A"/>
    <w:lvl w:ilvl="0" w:tplc="F8765E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125AE"/>
    <w:multiLevelType w:val="hybridMultilevel"/>
    <w:tmpl w:val="AAE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A1661"/>
    <w:multiLevelType w:val="hybridMultilevel"/>
    <w:tmpl w:val="5F38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0764F"/>
    <w:multiLevelType w:val="hybridMultilevel"/>
    <w:tmpl w:val="1022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D0CB9"/>
    <w:multiLevelType w:val="hybridMultilevel"/>
    <w:tmpl w:val="832824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FFF3723"/>
    <w:multiLevelType w:val="hybridMultilevel"/>
    <w:tmpl w:val="43B6F18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21766D76"/>
    <w:multiLevelType w:val="hybridMultilevel"/>
    <w:tmpl w:val="0974EC44"/>
    <w:lvl w:ilvl="0" w:tplc="08090001">
      <w:start w:val="1"/>
      <w:numFmt w:val="bullet"/>
      <w:lvlText w:val=""/>
      <w:lvlJc w:val="left"/>
      <w:pPr>
        <w:ind w:left="337" w:hanging="170"/>
      </w:pPr>
      <w:rPr>
        <w:rFonts w:ascii="Symbol" w:hAnsi="Symbol" w:hint="default"/>
        <w:b/>
        <w:bCs/>
        <w:color w:val="50B84F"/>
        <w:w w:val="60"/>
        <w:sz w:val="20"/>
        <w:szCs w:val="20"/>
      </w:rPr>
    </w:lvl>
    <w:lvl w:ilvl="1" w:tplc="FF865F5A">
      <w:start w:val="1"/>
      <w:numFmt w:val="bullet"/>
      <w:lvlText w:val="•"/>
      <w:lvlJc w:val="left"/>
      <w:pPr>
        <w:ind w:left="841" w:hanging="170"/>
      </w:pPr>
      <w:rPr>
        <w:rFonts w:hint="default"/>
      </w:rPr>
    </w:lvl>
    <w:lvl w:ilvl="2" w:tplc="80CEE226">
      <w:start w:val="1"/>
      <w:numFmt w:val="bullet"/>
      <w:lvlText w:val="•"/>
      <w:lvlJc w:val="left"/>
      <w:pPr>
        <w:ind w:left="1342" w:hanging="170"/>
      </w:pPr>
      <w:rPr>
        <w:rFonts w:hint="default"/>
      </w:rPr>
    </w:lvl>
    <w:lvl w:ilvl="3" w:tplc="7C404A6C">
      <w:start w:val="1"/>
      <w:numFmt w:val="bullet"/>
      <w:lvlText w:val="•"/>
      <w:lvlJc w:val="left"/>
      <w:pPr>
        <w:ind w:left="1843" w:hanging="170"/>
      </w:pPr>
      <w:rPr>
        <w:rFonts w:hint="default"/>
      </w:rPr>
    </w:lvl>
    <w:lvl w:ilvl="4" w:tplc="7F8E01F6">
      <w:start w:val="1"/>
      <w:numFmt w:val="bullet"/>
      <w:lvlText w:val="•"/>
      <w:lvlJc w:val="left"/>
      <w:pPr>
        <w:ind w:left="2344" w:hanging="170"/>
      </w:pPr>
      <w:rPr>
        <w:rFonts w:hint="default"/>
      </w:rPr>
    </w:lvl>
    <w:lvl w:ilvl="5" w:tplc="7354EE32">
      <w:start w:val="1"/>
      <w:numFmt w:val="bullet"/>
      <w:lvlText w:val="•"/>
      <w:lvlJc w:val="left"/>
      <w:pPr>
        <w:ind w:left="2845" w:hanging="170"/>
      </w:pPr>
      <w:rPr>
        <w:rFonts w:hint="default"/>
      </w:rPr>
    </w:lvl>
    <w:lvl w:ilvl="6" w:tplc="9C42F836">
      <w:start w:val="1"/>
      <w:numFmt w:val="bullet"/>
      <w:lvlText w:val="•"/>
      <w:lvlJc w:val="left"/>
      <w:pPr>
        <w:ind w:left="3347" w:hanging="170"/>
      </w:pPr>
      <w:rPr>
        <w:rFonts w:hint="default"/>
      </w:rPr>
    </w:lvl>
    <w:lvl w:ilvl="7" w:tplc="EB04AD4E">
      <w:start w:val="1"/>
      <w:numFmt w:val="bullet"/>
      <w:lvlText w:val="•"/>
      <w:lvlJc w:val="left"/>
      <w:pPr>
        <w:ind w:left="3848" w:hanging="170"/>
      </w:pPr>
      <w:rPr>
        <w:rFonts w:hint="default"/>
      </w:rPr>
    </w:lvl>
    <w:lvl w:ilvl="8" w:tplc="1BD63C2C">
      <w:start w:val="1"/>
      <w:numFmt w:val="bullet"/>
      <w:lvlText w:val="•"/>
      <w:lvlJc w:val="left"/>
      <w:pPr>
        <w:ind w:left="4349" w:hanging="170"/>
      </w:pPr>
      <w:rPr>
        <w:rFonts w:hint="default"/>
      </w:rPr>
    </w:lvl>
  </w:abstractNum>
  <w:abstractNum w:abstractNumId="7" w15:restartNumberingAfterBreak="0">
    <w:nsid w:val="23984076"/>
    <w:multiLevelType w:val="hybridMultilevel"/>
    <w:tmpl w:val="408C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E6CAF"/>
    <w:multiLevelType w:val="hybridMultilevel"/>
    <w:tmpl w:val="A89A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AC14B3"/>
    <w:multiLevelType w:val="hybridMultilevel"/>
    <w:tmpl w:val="79FA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06F17"/>
    <w:multiLevelType w:val="hybridMultilevel"/>
    <w:tmpl w:val="243098FA"/>
    <w:lvl w:ilvl="0" w:tplc="08090001">
      <w:start w:val="1"/>
      <w:numFmt w:val="bullet"/>
      <w:lvlText w:val=""/>
      <w:lvlJc w:val="left"/>
      <w:pPr>
        <w:tabs>
          <w:tab w:val="num" w:pos="480"/>
        </w:tabs>
        <w:ind w:left="480" w:hanging="360"/>
      </w:pPr>
      <w:rPr>
        <w:rFonts w:ascii="Symbol" w:hAnsi="Symbol" w:hint="default"/>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03">
      <w:start w:val="1"/>
      <w:numFmt w:val="bullet"/>
      <w:lvlText w:val="o"/>
      <w:lvlJc w:val="left"/>
      <w:pPr>
        <w:tabs>
          <w:tab w:val="num" w:pos="2340"/>
        </w:tabs>
        <w:ind w:left="2340" w:hanging="360"/>
      </w:pPr>
      <w:rPr>
        <w:rFonts w:ascii="Courier New" w:hAnsi="Courier New" w:cs="Courier New"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4926FF"/>
    <w:multiLevelType w:val="hybridMultilevel"/>
    <w:tmpl w:val="6832E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11806"/>
    <w:multiLevelType w:val="hybridMultilevel"/>
    <w:tmpl w:val="69DEF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D931F8"/>
    <w:multiLevelType w:val="hybridMultilevel"/>
    <w:tmpl w:val="4B36E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DD6638"/>
    <w:multiLevelType w:val="hybridMultilevel"/>
    <w:tmpl w:val="5D32A6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27D4C"/>
    <w:multiLevelType w:val="hybridMultilevel"/>
    <w:tmpl w:val="A434F8C8"/>
    <w:lvl w:ilvl="0" w:tplc="DDF0CE6C">
      <w:start w:val="1"/>
      <w:numFmt w:val="decimal"/>
      <w:lvlText w:val="%1."/>
      <w:lvlJc w:val="left"/>
      <w:pPr>
        <w:ind w:left="720" w:hanging="360"/>
      </w:pPr>
      <w:rPr>
        <w:rFonts w:eastAsia="Times New Roman"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11BFA"/>
    <w:multiLevelType w:val="hybridMultilevel"/>
    <w:tmpl w:val="0490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B3752"/>
    <w:multiLevelType w:val="hybridMultilevel"/>
    <w:tmpl w:val="F020AF80"/>
    <w:lvl w:ilvl="0" w:tplc="32066CA8">
      <w:start w:val="1"/>
      <w:numFmt w:val="bullet"/>
      <w:lvlText w:val="•"/>
      <w:lvlJc w:val="left"/>
      <w:pPr>
        <w:ind w:left="337" w:hanging="170"/>
      </w:pPr>
      <w:rPr>
        <w:rFonts w:ascii="Century Gothic" w:eastAsia="Century Gothic" w:hAnsi="Century Gothic" w:hint="default"/>
        <w:b/>
        <w:bCs/>
        <w:color w:val="50B84F"/>
        <w:w w:val="60"/>
        <w:sz w:val="20"/>
        <w:szCs w:val="20"/>
      </w:rPr>
    </w:lvl>
    <w:lvl w:ilvl="1" w:tplc="FF865F5A">
      <w:start w:val="1"/>
      <w:numFmt w:val="bullet"/>
      <w:lvlText w:val="•"/>
      <w:lvlJc w:val="left"/>
      <w:pPr>
        <w:ind w:left="841" w:hanging="170"/>
      </w:pPr>
      <w:rPr>
        <w:rFonts w:hint="default"/>
      </w:rPr>
    </w:lvl>
    <w:lvl w:ilvl="2" w:tplc="80CEE226">
      <w:start w:val="1"/>
      <w:numFmt w:val="bullet"/>
      <w:lvlText w:val="•"/>
      <w:lvlJc w:val="left"/>
      <w:pPr>
        <w:ind w:left="1342" w:hanging="170"/>
      </w:pPr>
      <w:rPr>
        <w:rFonts w:hint="default"/>
      </w:rPr>
    </w:lvl>
    <w:lvl w:ilvl="3" w:tplc="7C404A6C">
      <w:start w:val="1"/>
      <w:numFmt w:val="bullet"/>
      <w:lvlText w:val="•"/>
      <w:lvlJc w:val="left"/>
      <w:pPr>
        <w:ind w:left="1843" w:hanging="170"/>
      </w:pPr>
      <w:rPr>
        <w:rFonts w:hint="default"/>
      </w:rPr>
    </w:lvl>
    <w:lvl w:ilvl="4" w:tplc="7F8E01F6">
      <w:start w:val="1"/>
      <w:numFmt w:val="bullet"/>
      <w:lvlText w:val="•"/>
      <w:lvlJc w:val="left"/>
      <w:pPr>
        <w:ind w:left="2344" w:hanging="170"/>
      </w:pPr>
      <w:rPr>
        <w:rFonts w:hint="default"/>
      </w:rPr>
    </w:lvl>
    <w:lvl w:ilvl="5" w:tplc="7354EE32">
      <w:start w:val="1"/>
      <w:numFmt w:val="bullet"/>
      <w:lvlText w:val="•"/>
      <w:lvlJc w:val="left"/>
      <w:pPr>
        <w:ind w:left="2845" w:hanging="170"/>
      </w:pPr>
      <w:rPr>
        <w:rFonts w:hint="default"/>
      </w:rPr>
    </w:lvl>
    <w:lvl w:ilvl="6" w:tplc="9C42F836">
      <w:start w:val="1"/>
      <w:numFmt w:val="bullet"/>
      <w:lvlText w:val="•"/>
      <w:lvlJc w:val="left"/>
      <w:pPr>
        <w:ind w:left="3347" w:hanging="170"/>
      </w:pPr>
      <w:rPr>
        <w:rFonts w:hint="default"/>
      </w:rPr>
    </w:lvl>
    <w:lvl w:ilvl="7" w:tplc="EB04AD4E">
      <w:start w:val="1"/>
      <w:numFmt w:val="bullet"/>
      <w:lvlText w:val="•"/>
      <w:lvlJc w:val="left"/>
      <w:pPr>
        <w:ind w:left="3848" w:hanging="170"/>
      </w:pPr>
      <w:rPr>
        <w:rFonts w:hint="default"/>
      </w:rPr>
    </w:lvl>
    <w:lvl w:ilvl="8" w:tplc="1BD63C2C">
      <w:start w:val="1"/>
      <w:numFmt w:val="bullet"/>
      <w:lvlText w:val="•"/>
      <w:lvlJc w:val="left"/>
      <w:pPr>
        <w:ind w:left="4349" w:hanging="170"/>
      </w:pPr>
      <w:rPr>
        <w:rFonts w:hint="default"/>
      </w:rPr>
    </w:lvl>
  </w:abstractNum>
  <w:abstractNum w:abstractNumId="18" w15:restartNumberingAfterBreak="0">
    <w:nsid w:val="4B3749F2"/>
    <w:multiLevelType w:val="hybridMultilevel"/>
    <w:tmpl w:val="135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57DBD"/>
    <w:multiLevelType w:val="hybridMultilevel"/>
    <w:tmpl w:val="2DF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A1AEF"/>
    <w:multiLevelType w:val="hybridMultilevel"/>
    <w:tmpl w:val="1AEC4B34"/>
    <w:lvl w:ilvl="0" w:tplc="319ED634">
      <w:start w:val="1"/>
      <w:numFmt w:val="decimal"/>
      <w:lvlText w:val="%1."/>
      <w:lvlJc w:val="left"/>
      <w:pPr>
        <w:tabs>
          <w:tab w:val="num" w:pos="480"/>
        </w:tabs>
        <w:ind w:left="48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08090003">
      <w:start w:val="1"/>
      <w:numFmt w:val="bullet"/>
      <w:lvlText w:val="o"/>
      <w:lvlJc w:val="left"/>
      <w:pPr>
        <w:tabs>
          <w:tab w:val="num" w:pos="2340"/>
        </w:tabs>
        <w:ind w:left="2340" w:hanging="360"/>
      </w:pPr>
      <w:rPr>
        <w:rFonts w:ascii="Courier New" w:hAnsi="Courier New" w:cs="Courier New"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88400D4"/>
    <w:multiLevelType w:val="hybridMultilevel"/>
    <w:tmpl w:val="DDD2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D4466"/>
    <w:multiLevelType w:val="multilevel"/>
    <w:tmpl w:val="75CE01D2"/>
    <w:lvl w:ilvl="0">
      <w:start w:val="1"/>
      <w:numFmt w:val="decimal"/>
      <w:lvlText w:val="%1."/>
      <w:lvlJc w:val="left"/>
      <w:pPr>
        <w:ind w:left="360" w:hanging="360"/>
      </w:pPr>
      <w:rPr>
        <w:rFonts w:ascii="Verdana" w:hAnsi="Verdana" w:cs="Arial" w:hint="default"/>
        <w:b/>
        <w:sz w:val="20"/>
        <w:szCs w:val="20"/>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800" w:hanging="1800"/>
      </w:pPr>
      <w:rPr>
        <w:rFonts w:cs="Times New Roman" w:hint="default"/>
        <w:b/>
      </w:rPr>
    </w:lvl>
    <w:lvl w:ilvl="7">
      <w:start w:val="1"/>
      <w:numFmt w:val="decimal"/>
      <w:isLgl/>
      <w:lvlText w:val="%1.%2.%3.%4.%5.%6.%7.%8"/>
      <w:lvlJc w:val="left"/>
      <w:pPr>
        <w:ind w:left="2160" w:hanging="216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23" w15:restartNumberingAfterBreak="0">
    <w:nsid w:val="65E718D5"/>
    <w:multiLevelType w:val="hybridMultilevel"/>
    <w:tmpl w:val="AC9A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F16BA"/>
    <w:multiLevelType w:val="hybridMultilevel"/>
    <w:tmpl w:val="28F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8654D"/>
    <w:multiLevelType w:val="hybridMultilevel"/>
    <w:tmpl w:val="512ED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B7F05A8"/>
    <w:multiLevelType w:val="hybridMultilevel"/>
    <w:tmpl w:val="4AF05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24"/>
  </w:num>
  <w:num w:numId="4">
    <w:abstractNumId w:val="26"/>
  </w:num>
  <w:num w:numId="5">
    <w:abstractNumId w:val="4"/>
  </w:num>
  <w:num w:numId="6">
    <w:abstractNumId w:val="17"/>
  </w:num>
  <w:num w:numId="7">
    <w:abstractNumId w:val="6"/>
  </w:num>
  <w:num w:numId="8">
    <w:abstractNumId w:val="13"/>
  </w:num>
  <w:num w:numId="9">
    <w:abstractNumId w:val="20"/>
  </w:num>
  <w:num w:numId="10">
    <w:abstractNumId w:val="10"/>
  </w:num>
  <w:num w:numId="11">
    <w:abstractNumId w:val="1"/>
  </w:num>
  <w:num w:numId="12">
    <w:abstractNumId w:val="8"/>
  </w:num>
  <w:num w:numId="13">
    <w:abstractNumId w:val="16"/>
  </w:num>
  <w:num w:numId="14">
    <w:abstractNumId w:val="19"/>
  </w:num>
  <w:num w:numId="15">
    <w:abstractNumId w:val="25"/>
  </w:num>
  <w:num w:numId="16">
    <w:abstractNumId w:val="3"/>
  </w:num>
  <w:num w:numId="17">
    <w:abstractNumId w:val="14"/>
  </w:num>
  <w:num w:numId="18">
    <w:abstractNumId w:val="23"/>
  </w:num>
  <w:num w:numId="19">
    <w:abstractNumId w:val="12"/>
  </w:num>
  <w:num w:numId="20">
    <w:abstractNumId w:val="5"/>
  </w:num>
  <w:num w:numId="21">
    <w:abstractNumId w:val="7"/>
  </w:num>
  <w:num w:numId="22">
    <w:abstractNumId w:val="2"/>
  </w:num>
  <w:num w:numId="23">
    <w:abstractNumId w:val="9"/>
  </w:num>
  <w:num w:numId="24">
    <w:abstractNumId w:val="18"/>
  </w:num>
  <w:num w:numId="25">
    <w:abstractNumId w:val="15"/>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48"/>
    <w:rsid w:val="00031E0C"/>
    <w:rsid w:val="000A2F47"/>
    <w:rsid w:val="000C4522"/>
    <w:rsid w:val="000D66E3"/>
    <w:rsid w:val="000E362A"/>
    <w:rsid w:val="00146CC9"/>
    <w:rsid w:val="00182502"/>
    <w:rsid w:val="00185D81"/>
    <w:rsid w:val="00196CF7"/>
    <w:rsid w:val="001E2B70"/>
    <w:rsid w:val="00240936"/>
    <w:rsid w:val="00247BCC"/>
    <w:rsid w:val="002677E4"/>
    <w:rsid w:val="00290756"/>
    <w:rsid w:val="002C61D7"/>
    <w:rsid w:val="002D4504"/>
    <w:rsid w:val="002D50FC"/>
    <w:rsid w:val="002F2B81"/>
    <w:rsid w:val="00341B43"/>
    <w:rsid w:val="003744DA"/>
    <w:rsid w:val="003B1567"/>
    <w:rsid w:val="004248A8"/>
    <w:rsid w:val="00453583"/>
    <w:rsid w:val="00454743"/>
    <w:rsid w:val="00467518"/>
    <w:rsid w:val="004744E0"/>
    <w:rsid w:val="004758A5"/>
    <w:rsid w:val="00510984"/>
    <w:rsid w:val="00530C7D"/>
    <w:rsid w:val="005749D2"/>
    <w:rsid w:val="005B42E7"/>
    <w:rsid w:val="005F6E83"/>
    <w:rsid w:val="00616DFE"/>
    <w:rsid w:val="006470E9"/>
    <w:rsid w:val="00663D8C"/>
    <w:rsid w:val="00690796"/>
    <w:rsid w:val="006D47D1"/>
    <w:rsid w:val="00714D6A"/>
    <w:rsid w:val="00741642"/>
    <w:rsid w:val="007C38E5"/>
    <w:rsid w:val="0082285A"/>
    <w:rsid w:val="00830187"/>
    <w:rsid w:val="008712F0"/>
    <w:rsid w:val="00873E43"/>
    <w:rsid w:val="008D05E9"/>
    <w:rsid w:val="009116FC"/>
    <w:rsid w:val="00933C17"/>
    <w:rsid w:val="00963AE8"/>
    <w:rsid w:val="009A5948"/>
    <w:rsid w:val="009F0423"/>
    <w:rsid w:val="00A600EA"/>
    <w:rsid w:val="00AA1AF0"/>
    <w:rsid w:val="00AD0373"/>
    <w:rsid w:val="00AD1E19"/>
    <w:rsid w:val="00B2719E"/>
    <w:rsid w:val="00B63578"/>
    <w:rsid w:val="00BA077B"/>
    <w:rsid w:val="00BF7986"/>
    <w:rsid w:val="00C54A1A"/>
    <w:rsid w:val="00C55093"/>
    <w:rsid w:val="00CC73AB"/>
    <w:rsid w:val="00CC7D8C"/>
    <w:rsid w:val="00CE187B"/>
    <w:rsid w:val="00D05CF8"/>
    <w:rsid w:val="00D34749"/>
    <w:rsid w:val="00E254CE"/>
    <w:rsid w:val="00E54488"/>
    <w:rsid w:val="00E618BE"/>
    <w:rsid w:val="00E829F9"/>
    <w:rsid w:val="00E874CD"/>
    <w:rsid w:val="00ED294E"/>
    <w:rsid w:val="00F40C00"/>
    <w:rsid w:val="00F8070A"/>
    <w:rsid w:val="00F82379"/>
    <w:rsid w:val="00FD4BB3"/>
    <w:rsid w:val="00FE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637D"/>
  <w15:chartTrackingRefBased/>
  <w15:docId w15:val="{2F814F25-DB58-489D-A7F2-BCCF2220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5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67518"/>
    <w:rPr>
      <w:sz w:val="16"/>
      <w:szCs w:val="16"/>
    </w:rPr>
  </w:style>
  <w:style w:type="paragraph" w:styleId="CommentText">
    <w:name w:val="annotation text"/>
    <w:basedOn w:val="Normal"/>
    <w:link w:val="CommentTextChar"/>
    <w:uiPriority w:val="99"/>
    <w:unhideWhenUsed/>
    <w:rsid w:val="00467518"/>
    <w:rPr>
      <w:sz w:val="20"/>
      <w:szCs w:val="20"/>
    </w:rPr>
  </w:style>
  <w:style w:type="character" w:customStyle="1" w:styleId="CommentTextChar">
    <w:name w:val="Comment Text Char"/>
    <w:basedOn w:val="DefaultParagraphFont"/>
    <w:link w:val="CommentText"/>
    <w:uiPriority w:val="99"/>
    <w:rsid w:val="00467518"/>
    <w:rPr>
      <w:rFonts w:ascii="Calibri" w:eastAsia="Calibri" w:hAnsi="Calibri" w:cs="Times New Roman"/>
      <w:sz w:val="20"/>
      <w:szCs w:val="20"/>
    </w:rPr>
  </w:style>
  <w:style w:type="character" w:styleId="Hyperlink">
    <w:name w:val="Hyperlink"/>
    <w:uiPriority w:val="99"/>
    <w:unhideWhenUsed/>
    <w:rsid w:val="00467518"/>
    <w:rPr>
      <w:color w:val="0000FF"/>
      <w:u w:val="single"/>
    </w:rPr>
  </w:style>
  <w:style w:type="paragraph" w:customStyle="1" w:styleId="Default">
    <w:name w:val="Default"/>
    <w:rsid w:val="00467518"/>
    <w:pPr>
      <w:autoSpaceDE w:val="0"/>
      <w:autoSpaceDN w:val="0"/>
      <w:adjustRightInd w:val="0"/>
      <w:spacing w:after="0" w:line="240" w:lineRule="auto"/>
    </w:pPr>
    <w:rPr>
      <w:rFonts w:ascii="Symbol" w:eastAsia="Calibri" w:hAnsi="Symbol" w:cs="Symbol"/>
      <w:color w:val="000000"/>
      <w:sz w:val="24"/>
      <w:szCs w:val="24"/>
    </w:rPr>
  </w:style>
  <w:style w:type="character" w:styleId="PlaceholderText">
    <w:name w:val="Placeholder Text"/>
    <w:basedOn w:val="DefaultParagraphFont"/>
    <w:uiPriority w:val="99"/>
    <w:semiHidden/>
    <w:rsid w:val="00467518"/>
    <w:rPr>
      <w:color w:val="808080"/>
    </w:rPr>
  </w:style>
  <w:style w:type="paragraph" w:styleId="ListParagraph">
    <w:name w:val="List Paragraph"/>
    <w:basedOn w:val="Normal"/>
    <w:uiPriority w:val="34"/>
    <w:qFormat/>
    <w:rsid w:val="00D34749"/>
    <w:pPr>
      <w:ind w:left="720"/>
      <w:contextualSpacing/>
    </w:pPr>
  </w:style>
  <w:style w:type="table" w:styleId="TableGrid">
    <w:name w:val="Table Grid"/>
    <w:basedOn w:val="TableNormal"/>
    <w:uiPriority w:val="59"/>
    <w:rsid w:val="00D3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0373"/>
    <w:pPr>
      <w:widowControl w:val="0"/>
      <w:spacing w:after="0" w:line="240" w:lineRule="auto"/>
      <w:ind w:left="133"/>
    </w:pPr>
    <w:rPr>
      <w:rFonts w:cstheme="minorBidi"/>
      <w:sz w:val="20"/>
      <w:szCs w:val="20"/>
      <w:lang w:val="en-US"/>
    </w:rPr>
  </w:style>
  <w:style w:type="character" w:customStyle="1" w:styleId="BodyTextChar">
    <w:name w:val="Body Text Char"/>
    <w:basedOn w:val="DefaultParagraphFont"/>
    <w:link w:val="BodyText"/>
    <w:uiPriority w:val="1"/>
    <w:rsid w:val="00AD0373"/>
    <w:rPr>
      <w:rFonts w:ascii="Calibri" w:eastAsia="Calibri" w:hAnsi="Calibri"/>
      <w:sz w:val="20"/>
      <w:szCs w:val="20"/>
      <w:lang w:val="en-US"/>
    </w:rPr>
  </w:style>
  <w:style w:type="character" w:styleId="FollowedHyperlink">
    <w:name w:val="FollowedHyperlink"/>
    <w:basedOn w:val="DefaultParagraphFont"/>
    <w:uiPriority w:val="99"/>
    <w:semiHidden/>
    <w:unhideWhenUsed/>
    <w:rsid w:val="001E2B70"/>
    <w:rPr>
      <w:color w:val="954F72" w:themeColor="followedHyperlink"/>
      <w:u w:val="single"/>
    </w:rPr>
  </w:style>
  <w:style w:type="paragraph" w:styleId="NormalWeb">
    <w:name w:val="Normal (Web)"/>
    <w:basedOn w:val="Normal"/>
    <w:uiPriority w:val="99"/>
    <w:unhideWhenUsed/>
    <w:rsid w:val="00E54488"/>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82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502"/>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3B1567"/>
    <w:pPr>
      <w:spacing w:line="240" w:lineRule="auto"/>
    </w:pPr>
    <w:rPr>
      <w:b/>
      <w:bCs/>
    </w:rPr>
  </w:style>
  <w:style w:type="character" w:customStyle="1" w:styleId="CommentSubjectChar">
    <w:name w:val="Comment Subject Char"/>
    <w:basedOn w:val="CommentTextChar"/>
    <w:link w:val="CommentSubject"/>
    <w:uiPriority w:val="99"/>
    <w:semiHidden/>
    <w:rsid w:val="003B1567"/>
    <w:rPr>
      <w:rFonts w:ascii="Calibri" w:eastAsia="Calibri" w:hAnsi="Calibri" w:cs="Times New Roman"/>
      <w:b/>
      <w:bCs/>
      <w:sz w:val="20"/>
      <w:szCs w:val="20"/>
    </w:rPr>
  </w:style>
  <w:style w:type="paragraph" w:styleId="BodyText2">
    <w:name w:val="Body Text 2"/>
    <w:basedOn w:val="Normal"/>
    <w:link w:val="BodyText2Char"/>
    <w:uiPriority w:val="99"/>
    <w:semiHidden/>
    <w:unhideWhenUsed/>
    <w:rsid w:val="00453583"/>
    <w:pPr>
      <w:spacing w:after="120" w:line="480" w:lineRule="auto"/>
    </w:pPr>
  </w:style>
  <w:style w:type="character" w:customStyle="1" w:styleId="BodyText2Char">
    <w:name w:val="Body Text 2 Char"/>
    <w:basedOn w:val="DefaultParagraphFont"/>
    <w:link w:val="BodyText2"/>
    <w:uiPriority w:val="99"/>
    <w:semiHidden/>
    <w:rsid w:val="00453583"/>
    <w:rPr>
      <w:rFonts w:ascii="Calibri" w:eastAsia="Calibri" w:hAnsi="Calibri" w:cs="Times New Roman"/>
    </w:rPr>
  </w:style>
  <w:style w:type="paragraph" w:styleId="FootnoteText">
    <w:name w:val="footnote text"/>
    <w:basedOn w:val="Normal"/>
    <w:link w:val="FootnoteTextChar"/>
    <w:rsid w:val="004248A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248A8"/>
    <w:rPr>
      <w:rFonts w:ascii="Times New Roman" w:eastAsia="Times New Roman" w:hAnsi="Times New Roman" w:cs="Times New Roman"/>
      <w:sz w:val="20"/>
      <w:szCs w:val="20"/>
      <w:lang w:eastAsia="en-GB"/>
    </w:rPr>
  </w:style>
  <w:style w:type="character" w:styleId="FootnoteReference">
    <w:name w:val="footnote reference"/>
    <w:rsid w:val="00424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hefce.ac.uk/media/HEFCE,2014/Content/Regulation/Student,protection/Statement_good_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0fc3a824fb648d7b616fee89359459c xmlns="cd6776ed-f08e-4843-9ddb-48102bb19a90">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5a1588cf-2662-4b88-9c82-00d0b96cb0b7</TermId>
        </TermInfo>
      </Terms>
    </m0fc3a824fb648d7b616fee89359459c>
    <j2bdfc1f59f84139b9a4e285bd251e66 xmlns="cd6776ed-f08e-4843-9ddb-48102bb19a90">
      <Terms xmlns="http://schemas.microsoft.com/office/infopath/2007/PartnerControls">
        <TermInfo xmlns="http://schemas.microsoft.com/office/infopath/2007/PartnerControls">
          <TermName xmlns="http://schemas.microsoft.com/office/infopath/2007/PartnerControls">Compliance and Governance</TermName>
          <TermId xmlns="http://schemas.microsoft.com/office/infopath/2007/PartnerControls">8e260d84-8846-48bc-a4a8-7ab3a070dd87</TermId>
        </TermInfo>
      </Terms>
    </j2bdfc1f59f84139b9a4e285bd251e66>
    <Description0 xmlns="cd6776ed-f08e-4843-9ddb-48102bb19a90">Programme Withdrawal and Suspension</Description0>
    <Content_x0020_Owner xmlns="cd6776ed-f08e-4843-9ddb-48102bb19a90">
      <UserInfo>
        <DisplayName>i:0#.f|membership|janine.whitfield@cumbria.ac.uk,#i:0#.f|membership|janine.whitfield@cumbria.ac.uk,#janine.whitfield@cumbria.ac.uk,#janine.whitfield@cumbria.ac.uk,#Whitfield, Janine,#,#Governance &amp; Compliance,#Administration and Governance Manager</DisplayName>
        <AccountId>240</AccountId>
        <AccountType/>
      </UserInfo>
    </Content_x0020_Owner>
    <IconOverlay xmlns="http://schemas.microsoft.com/sharepoint/v4" xsi:nil="true"/>
    <Confirm_x0020_content_x0020_not_x0020_Confidential_x0020_or_x0020_Sensitive xmlns="cd6776ed-f08e-4843-9ddb-48102bb19a90">No</Confirm_x0020_content_x0020_not_x0020_Confidential_x0020_or_x0020_Sensitive>
    <TaxCatchAll xmlns="dc849cdf-d7b5-415f-bd8d-d6449dc27fa2">
      <Value>3</Value>
      <Value>198</Value>
      <Value>140</Value>
    </TaxCatchAll>
    <n3c50ec5494d4deda6c4f9493bb303fe xmlns="cd6776ed-f08e-4843-9ddb-48102bb19a90">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c3895c06-36e4-4934-9dcd-8bec03fbf7d6</TermId>
        </TermInfo>
      </Terms>
    </n3c50ec5494d4deda6c4f9493bb303f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298F8937F4854CBA0C7F138845223E" ma:contentTypeVersion="29" ma:contentTypeDescription="Create a new document." ma:contentTypeScope="" ma:versionID="b7327a30537973464ff8488686626f06">
  <xsd:schema xmlns:xsd="http://www.w3.org/2001/XMLSchema" xmlns:xs="http://www.w3.org/2001/XMLSchema" xmlns:p="http://schemas.microsoft.com/office/2006/metadata/properties" xmlns:ns2="cd6776ed-f08e-4843-9ddb-48102bb19a90" xmlns:ns3="dc849cdf-d7b5-415f-bd8d-d6449dc27fa2" xmlns:ns4="http://schemas.microsoft.com/sharepoint/v4" targetNamespace="http://schemas.microsoft.com/office/2006/metadata/properties" ma:root="true" ma:fieldsID="8b6804844148070b79e31864a9fe7576" ns2:_="" ns3:_="" ns4:_="">
    <xsd:import namespace="cd6776ed-f08e-4843-9ddb-48102bb19a90"/>
    <xsd:import namespace="dc849cdf-d7b5-415f-bd8d-d6449dc27fa2"/>
    <xsd:import namespace="http://schemas.microsoft.com/sharepoint/v4"/>
    <xsd:element name="properties">
      <xsd:complexType>
        <xsd:sequence>
          <xsd:element name="documentManagement">
            <xsd:complexType>
              <xsd:all>
                <xsd:element ref="ns2:m0fc3a824fb648d7b616fee89359459c" minOccurs="0"/>
                <xsd:element ref="ns3:TaxCatchAll" minOccurs="0"/>
                <xsd:element ref="ns2:j2bdfc1f59f84139b9a4e285bd251e66" minOccurs="0"/>
                <xsd:element ref="ns2:Content_x0020_Owner"/>
                <xsd:element ref="ns2:Confirm_x0020_content_x0020_not_x0020_Confidential_x0020_or_x0020_Sensitive"/>
                <xsd:element ref="ns2:n3c50ec5494d4deda6c4f9493bb303fe" minOccurs="0"/>
                <xsd:element ref="ns2:Description0"/>
                <xsd:element ref="ns3:SharedWithUsers" minOccurs="0"/>
                <xsd:element ref="ns3:SharedWithDetails" minOccurs="0"/>
                <xsd:element ref="ns4:IconOverlay"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776ed-f08e-4843-9ddb-48102bb19a90" elementFormDefault="qualified">
    <xsd:import namespace="http://schemas.microsoft.com/office/2006/documentManagement/types"/>
    <xsd:import namespace="http://schemas.microsoft.com/office/infopath/2007/PartnerControls"/>
    <xsd:element name="m0fc3a824fb648d7b616fee89359459c" ma:index="9" ma:taxonomy="true" ma:internalName="m0fc3a824fb648d7b616fee89359459c" ma:taxonomyFieldName="Categories0" ma:displayName="Categories" ma:default="" ma:fieldId="{60fc3a82-4fb6-48d7-b616-fee89359459c}" ma:sspId="64b78912-6706-44cd-be05-92597e5f7f6f" ma:termSetId="216ec8f8-f1b2-4e1e-a919-7ae3ef868430" ma:anchorId="00000000-0000-0000-0000-000000000000" ma:open="false" ma:isKeyword="false">
      <xsd:complexType>
        <xsd:sequence>
          <xsd:element ref="pc:Terms" minOccurs="0" maxOccurs="1"/>
        </xsd:sequence>
      </xsd:complexType>
    </xsd:element>
    <xsd:element name="j2bdfc1f59f84139b9a4e285bd251e66" ma:index="12" nillable="true" ma:taxonomy="true" ma:internalName="j2bdfc1f59f84139b9a4e285bd251e66" ma:taxonomyFieldName="Topics" ma:displayName="Topics" ma:default="" ma:fieldId="{32bdfc1f-59f8-4139-b9a4-e285bd251e66}" ma:taxonomyMulti="true" ma:sspId="64b78912-6706-44cd-be05-92597e5f7f6f" ma:termSetId="9bfffe67-cb66-43c3-8a1e-67fee4603f07" ma:anchorId="00000000-0000-0000-0000-000000000000" ma:open="false" ma:isKeyword="false">
      <xsd:complexType>
        <xsd:sequence>
          <xsd:element ref="pc:Terms" minOccurs="0" maxOccurs="1"/>
        </xsd:sequence>
      </xsd:complexType>
    </xsd:element>
    <xsd:element name="Content_x0020_Owner" ma:index="13" ma:displayName="Content Owner" ma:list="UserInfo" ma:SharePointGroup="0" ma:internalName="Cont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firm_x0020_content_x0020_not_x0020_Confidential_x0020_or_x0020_Sensitive" ma:index="15" ma:displayName="Is content Confidential or Sensitive?" ma:description="Confidential or sensitive information should not be uploaded to StaffHub without the permission of the content owner. If flagged as such, it will not be available to Associates or Partners - For more information view the Data Classification Guidance in the Corporate Library" ma:format="RadioButtons" ma:internalName="Confirm_x0020_content_x0020_not_x0020_Confidential_x0020_or_x0020_Sensitive">
      <xsd:simpleType>
        <xsd:restriction base="dms:Choice">
          <xsd:enumeration value="No"/>
          <xsd:enumeration value="Yes"/>
        </xsd:restriction>
      </xsd:simpleType>
    </xsd:element>
    <xsd:element name="n3c50ec5494d4deda6c4f9493bb303fe" ma:index="17" nillable="true" ma:taxonomy="true" ma:internalName="n3c50ec5494d4deda6c4f9493bb303fe" ma:taxonomyFieldName="SubTopics" ma:displayName="SubTopics" ma:default="" ma:fieldId="{73c50ec5-494d-4ded-a6c4-f9493bb303fe}" ma:taxonomyMulti="true" ma:sspId="64b78912-6706-44cd-be05-92597e5f7f6f" ma:termSetId="a15ef271-e0c7-4b39-821d-9343512a95ff" ma:anchorId="00000000-0000-0000-0000-000000000000" ma:open="false" ma:isKeyword="false">
      <xsd:complexType>
        <xsd:sequence>
          <xsd:element ref="pc:Terms" minOccurs="0" maxOccurs="1"/>
        </xsd:sequence>
      </xsd:complexType>
    </xsd:element>
    <xsd:element name="Description0" ma:index="18" ma:displayName="Description" ma:internalName="Description0">
      <xsd:simpleType>
        <xsd:restriction base="dms:Text">
          <xsd:maxLength value="255"/>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49cdf-d7b5-415f-bd8d-d6449dc27fa2"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3ec51da-10d1-47d5-ac99-d8149e162013}" ma:internalName="TaxCatchAll" ma:showField="CatchAllData" ma:web="dc849cdf-d7b5-415f-bd8d-d6449dc27f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0D7B5-6CB9-4DE8-9FA7-E7FFE53DE68D}">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2.xml><?xml version="1.0" encoding="utf-8"?>
<ds:datastoreItem xmlns:ds="http://schemas.openxmlformats.org/officeDocument/2006/customXml" ds:itemID="{C4F497B1-E316-47C0-8086-87BD2ECC9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776ed-f08e-4843-9ddb-48102bb19a90"/>
    <ds:schemaRef ds:uri="dc849cdf-d7b5-415f-bd8d-d6449dc27f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387BD-8C11-49EC-B21E-662C86DC7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Cover Papers to committees</vt:lpstr>
    </vt:vector>
  </TitlesOfParts>
  <Company>University Of Cumbria</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Withdrawal and Suspension Procedure</dc:title>
  <dc:subject/>
  <dc:creator>Best, Toby</dc:creator>
  <cp:keywords>Committee; Committees;</cp:keywords>
  <dc:description/>
  <cp:lastModifiedBy>Rawlins, Whitney</cp:lastModifiedBy>
  <cp:revision>2</cp:revision>
  <cp:lastPrinted>2017-10-03T09:38:00Z</cp:lastPrinted>
  <dcterms:created xsi:type="dcterms:W3CDTF">2018-05-04T09:37:00Z</dcterms:created>
  <dcterms:modified xsi:type="dcterms:W3CDTF">2018-05-04T09:37:00Z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0x01010084298F8937F4854CBA0C7F138845223E</vt:lpwstr>
  </property>
  <property fmtid="{D5CDD505-2E9C-101B-9397-08002B2CF9AE}" pid="3" name="SubTopics">
    <vt:lpwstr>198;#Committees|c3895c06-36e4-4934-9dcd-8bec03fbf7d6</vt:lpwstr>
  </property>
  <property fmtid="{D5CDD505-2E9C-101B-9397-08002B2CF9AE}" pid="4" name="Topics">
    <vt:lpwstr>140;#Compliance and Governance|8e260d84-8846-48bc-a4a8-7ab3a070dd87</vt:lpwstr>
  </property>
  <property fmtid="{D5CDD505-2E9C-101B-9397-08002B2CF9AE}" pid="5" name="Categories0">
    <vt:lpwstr>3;#Guidance|5a1588cf-2662-4b88-9c82-00d0b96cb0b7</vt:lpwstr>
  </property>
</Properties>
</file>